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 некоторых вопросах разрешения споров, возникающих из договоров по поводу недвижимости, которая будет создана или приобретена в будущем</w:t>
      </w:r>
    </w:p>
    <w:p>
      <w:pPr>
        <w:spacing w:after="40"/>
      </w:pPr>
      <w:r>
        <w:rPr>
          <w:rFonts w:ascii="Inter" w:hAnsi="Inter"/>
          <w:b/>
          <w:color w:val="8B8171"/>
          <w:sz w:val="18"/>
        </w:rPr>
        <w:t xml:space="preserve">Суд: </w:t>
      </w:r>
      <w:r>
        <w:rPr>
          <w:rFonts w:ascii="Inter" w:hAnsi="Inter"/>
          <w:color w:val="655D50"/>
          <w:sz w:val="18"/>
        </w:rPr>
        <w:t>Пленум ВАС РФ</w:t>
      </w:r>
    </w:p>
    <w:p>
      <w:pPr>
        <w:spacing w:after="40"/>
      </w:pPr>
      <w:r>
        <w:rPr>
          <w:rFonts w:ascii="Inter" w:hAnsi="Inter"/>
          <w:b/>
          <w:color w:val="8B8171"/>
          <w:sz w:val="18"/>
        </w:rPr>
        <w:t xml:space="preserve">Дата: </w:t>
      </w:r>
      <w:r>
        <w:rPr>
          <w:rFonts w:ascii="Inter" w:hAnsi="Inter"/>
          <w:color w:val="655D50"/>
          <w:sz w:val="18"/>
        </w:rPr>
        <w:t>11.07.2011</w:t>
      </w:r>
    </w:p>
    <w:p>
      <w:pPr>
        <w:spacing w:after="40"/>
      </w:pPr>
      <w:r>
        <w:rPr>
          <w:rFonts w:ascii="Inter" w:hAnsi="Inter"/>
          <w:b/>
          <w:color w:val="8B8171"/>
          <w:sz w:val="18"/>
        </w:rPr>
        <w:t xml:space="preserve">Номер дела: </w:t>
      </w:r>
      <w:r>
        <w:rPr>
          <w:rFonts w:ascii="Inter" w:hAnsi="Inter"/>
          <w:color w:val="655D50"/>
          <w:sz w:val="18"/>
        </w:rPr>
        <w:t>Постановление Пленума ВАС РФ от 11.07.2011 № 54</w:t>
      </w:r>
    </w:p>
    <w:p>
      <w:pPr>
        <w:spacing w:after="40"/>
      </w:pPr>
      <w:r>
        <w:rPr>
          <w:rFonts w:ascii="Inter" w:hAnsi="Inter"/>
          <w:b/>
          <w:color w:val="8B8171"/>
          <w:sz w:val="18"/>
        </w:rPr>
        <w:t xml:space="preserve">Применённые нормы: </w:t>
      </w:r>
      <w:r>
        <w:rPr>
          <w:rFonts w:ascii="Inter" w:hAnsi="Inter"/>
          <w:color w:val="655D50"/>
          <w:sz w:val="18"/>
        </w:rPr>
        <w:t>ст. 1, ст. 1043 ГК, ст. 131, ст. 131 ГК, ст. 178 ГК, ст. 201, ст. 219, ст. 219 ГК, ст. 223 ГК, ст. 25, ст. 421 ГК, ст. 431 ГК, ст. 454, ст. 455, ст. 455 ГК, ст. 487, ст. 487 ГК, ст. 5, ст. 551 ГК, ст. 554 ГК, ст. 555 ГК, ст. 558 ГК, ст. 6, ст. 8</w:t>
      </w:r>
    </w:p>
    <w:p>
      <w:pPr>
        <w:spacing w:after="40"/>
      </w:pPr>
      <w:r>
        <w:rPr>
          <w:rFonts w:ascii="Inter" w:hAnsi="Inter"/>
          <w:b/>
          <w:color w:val="8B8171"/>
          <w:sz w:val="18"/>
        </w:rPr>
        <w:t xml:space="preserve">Теги: </w:t>
      </w:r>
      <w:r>
        <w:rPr>
          <w:rFonts w:ascii="Inter" w:hAnsi="Inter"/>
          <w:color w:val="655D50"/>
          <w:sz w:val="18"/>
        </w:rPr>
        <w:t>Договор купли-продажи, Недвижимость и сделки с ней</w:t>
      </w:r>
    </w:p>
    <w:p>
      <w:pPr>
        <w:spacing w:before="280" w:after="80"/>
      </w:pPr>
      <w:r>
        <w:rPr>
          <w:rFonts w:ascii="Cormorant Garamond" w:hAnsi="Cormorant Garamond"/>
          <w:b/>
          <w:color w:val="B63A26"/>
          <w:sz w:val="28"/>
        </w:rPr>
        <w:t>Пункт 8</w:t>
      </w:r>
    </w:p>
    <w:p>
      <w:pPr>
        <w:widowControl/>
        <w:spacing w:after="280" w:line="312" w:lineRule="auto"/>
        <w:ind w:firstLine="567"/>
        <w:jc w:val="both"/>
      </w:pPr>
      <w:r>
        <w:rPr>
          <w:rFonts w:ascii="Inter" w:hAnsi="Inter"/>
          <w:color w:val="655D50"/>
          <w:sz w:val="24"/>
        </w:rPr>
        <w:t>Если сторонами заключен договор, поименованный ими как предварительный, в соответствии с которым они обязуются заключить в будущем на предусмотренных им условиях основной договор о продаже недвижимого имущества, которое будет создано или приобретено в последующем, но при этом предварительный договор устанавливает обязанность приобретателя имущества до заключения основного договора уплатить цену недвижимого имущества или существенную ее часть, суды должны квалифицировать его как договор купли-продажи будущей недвижимой вещи с условием о предварительной оплате.</w:t>
      </w:r>
    </w:p>
    <w:p>
      <w:pPr>
        <w:widowControl/>
        <w:spacing w:after="280" w:line="312" w:lineRule="auto"/>
        <w:ind w:firstLine="567"/>
        <w:jc w:val="both"/>
      </w:pPr>
      <w:r>
        <w:rPr>
          <w:rFonts w:ascii="Inter" w:hAnsi="Inter"/>
          <w:color w:val="655D50"/>
          <w:sz w:val="24"/>
        </w:rPr>
        <w:t>Споры, вытекающие из указанного договора, подлежат разрешению в соответствии с правилами ГК РФ о договоре купли-продажи, в том числе положениями пунктов 3 и 4 статьи 487 Кодекса, и с учетом разъяснений, содержащихся в пунктах 2, 3 и 5 настоящего Постановления.</w:t>
      </w:r>
    </w:p>
    <w:p>
      <w:pPr>
        <w:widowControl/>
        <w:spacing w:after="280" w:line="312" w:lineRule="auto"/>
        <w:ind w:firstLine="567"/>
        <w:jc w:val="both"/>
      </w:pPr>
      <w:r>
        <w:rPr>
          <w:rFonts w:ascii="Inter" w:hAnsi="Inter"/>
          <w:color w:val="655D50"/>
          <w:sz w:val="24"/>
        </w:rPr>
        <w:t>Постановление Пленума ВАС РФ от 11.07.2011 № 54</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 некоторых вопросах разрешения споров, возникающих из договоров по поводу недвижимости, которая будет создана или приобретена в будущем</dc:title>
  <dc:subject/>
  <dc:creator>CasusLegal</dc:creator>
  <cp:keywords/>
  <dc:description/>
  <cp:lastModifiedBy>CasusLegal</cp:lastModifiedBy>
  <cp:revision>1</cp:revision>
  <dcterms:created xsi:type="dcterms:W3CDTF">2026-08-16T12:13:21Z</dcterms:created>
  <dcterms:modified xsi:type="dcterms:W3CDTF">2026-08-16T12:13:21Z</dcterms:modified>
  <cp:category/>
</cp:coreProperties>
</file>