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 некоторых вопросах разрешения споров, возникающих из договоров по поводу недвижимости, которая будет создана или приобретена в будущем</w:t>
      </w:r>
    </w:p>
    <w:p>
      <w:pPr>
        <w:spacing w:after="40"/>
      </w:pPr>
      <w:r>
        <w:rPr>
          <w:rFonts w:ascii="Inter" w:hAnsi="Inter"/>
          <w:b/>
          <w:color w:val="8B8171"/>
          <w:sz w:val="18"/>
        </w:rPr>
        <w:t xml:space="preserve">Суд: </w:t>
      </w:r>
      <w:r>
        <w:rPr>
          <w:rFonts w:ascii="Inter" w:hAnsi="Inter"/>
          <w:color w:val="655D50"/>
          <w:sz w:val="18"/>
        </w:rPr>
        <w:t>Пленум ВАС РФ</w:t>
      </w:r>
    </w:p>
    <w:p>
      <w:pPr>
        <w:spacing w:after="40"/>
      </w:pPr>
      <w:r>
        <w:rPr>
          <w:rFonts w:ascii="Inter" w:hAnsi="Inter"/>
          <w:b/>
          <w:color w:val="8B8171"/>
          <w:sz w:val="18"/>
        </w:rPr>
        <w:t xml:space="preserve">Дата: </w:t>
      </w:r>
      <w:r>
        <w:rPr>
          <w:rFonts w:ascii="Inter" w:hAnsi="Inter"/>
          <w:color w:val="655D50"/>
          <w:sz w:val="18"/>
        </w:rPr>
        <w:t>11.07.2011</w:t>
      </w:r>
    </w:p>
    <w:p>
      <w:pPr>
        <w:spacing w:after="40"/>
      </w:pPr>
      <w:r>
        <w:rPr>
          <w:rFonts w:ascii="Inter" w:hAnsi="Inter"/>
          <w:b/>
          <w:color w:val="8B8171"/>
          <w:sz w:val="18"/>
        </w:rPr>
        <w:t xml:space="preserve">Номер дела: </w:t>
      </w:r>
      <w:r>
        <w:rPr>
          <w:rFonts w:ascii="Inter" w:hAnsi="Inter"/>
          <w:color w:val="655D50"/>
          <w:sz w:val="18"/>
        </w:rPr>
        <w:t>Постановление Пленума ВАС РФ от 11.07.2011 № 54</w:t>
      </w:r>
    </w:p>
    <w:p>
      <w:pPr>
        <w:spacing w:after="40"/>
      </w:pPr>
      <w:r>
        <w:rPr>
          <w:rFonts w:ascii="Inter" w:hAnsi="Inter"/>
          <w:b/>
          <w:color w:val="8B8171"/>
          <w:sz w:val="18"/>
        </w:rPr>
        <w:t xml:space="preserve">Применённые нормы: </w:t>
      </w:r>
      <w:r>
        <w:rPr>
          <w:rFonts w:ascii="Inter" w:hAnsi="Inter"/>
          <w:color w:val="655D50"/>
          <w:sz w:val="18"/>
        </w:rPr>
        <w:t>ст. 1, ст. 1043 ГК, ст. 131, ст. 131 ГК, ст. 178 ГК, ст. 201, ст. 219, ст. 219 ГК, ст. 223 ГК, ст. 25, ст. 421 ГК, ст. 431 ГК, ст. 454, ст. 455, ст. 455 ГК, ст. 487, ст. 487 ГК, ст. 5, ст. 551 ГК, ст. 554 ГК, ст. 555 ГК, ст. 558 ГК, ст. 6, ст. 8</w:t>
      </w:r>
    </w:p>
    <w:p>
      <w:pPr>
        <w:spacing w:after="40"/>
      </w:pPr>
      <w:r>
        <w:rPr>
          <w:rFonts w:ascii="Inter" w:hAnsi="Inter"/>
          <w:b/>
          <w:color w:val="8B8171"/>
          <w:sz w:val="18"/>
        </w:rPr>
        <w:t xml:space="preserve">Теги: </w:t>
      </w:r>
      <w:r>
        <w:rPr>
          <w:rFonts w:ascii="Inter" w:hAnsi="Inter"/>
          <w:color w:val="655D50"/>
          <w:sz w:val="18"/>
        </w:rPr>
        <w:t>Договор купли-продажи, Недвижимость и сделки с ней</w:t>
      </w:r>
    </w:p>
    <w:p>
      <w:pPr>
        <w:spacing w:before="280" w:after="80"/>
      </w:pPr>
      <w:r>
        <w:rPr>
          <w:rFonts w:ascii="Cormorant Garamond" w:hAnsi="Cormorant Garamond"/>
          <w:b/>
          <w:color w:val="B63A26"/>
          <w:sz w:val="28"/>
        </w:rPr>
        <w:t>Пункт 2</w:t>
      </w:r>
    </w:p>
    <w:p>
      <w:pPr>
        <w:widowControl/>
        <w:spacing w:after="280" w:line="312" w:lineRule="auto"/>
        <w:ind w:firstLine="567"/>
        <w:jc w:val="both"/>
      </w:pPr>
      <w:r>
        <w:rPr>
          <w:rFonts w:ascii="Inter" w:hAnsi="Inter"/>
          <w:color w:val="655D50"/>
          <w:sz w:val="24"/>
        </w:rPr>
        <w:t>Согласно положениям статьи 554 ГК РФ для индивидуализации предмета договора купли-продажи недвижимого имущества достаточно указания в договоре кадастрового номера объекта недвижимости (при его наличии).</w:t>
      </w:r>
    </w:p>
    <w:p>
      <w:pPr>
        <w:widowControl/>
        <w:spacing w:after="280" w:line="312" w:lineRule="auto"/>
        <w:ind w:firstLine="567"/>
        <w:jc w:val="both"/>
      </w:pPr>
      <w:r>
        <w:rPr>
          <w:rFonts w:ascii="Inter" w:hAnsi="Inter"/>
          <w:color w:val="655D50"/>
          <w:sz w:val="24"/>
        </w:rPr>
        <w:t>Если сторонами заключен договор купли-продажи будущей недвижимой вещи, то индивидуализация предмета договора может быть осуществлена путем указания иных сведений, позволяющих установить недвижимое имущество, подлежащее передаче покупателю по договору (например, местонахождение возводимой недвижимости, ориентировочная площадь будущего здания или помещения, иные характеристики, свойства недвижимости, определенные, в частности, в соответствии с проектной документацией).</w:t>
      </w:r>
    </w:p>
    <w:p>
      <w:pPr>
        <w:widowControl/>
        <w:spacing w:after="280" w:line="312" w:lineRule="auto"/>
        <w:ind w:firstLine="567"/>
        <w:jc w:val="both"/>
      </w:pPr>
      <w:r>
        <w:rPr>
          <w:rFonts w:ascii="Inter" w:hAnsi="Inter"/>
          <w:color w:val="655D50"/>
          <w:sz w:val="24"/>
        </w:rPr>
        <w:t>Судам необходимо учитывать, что такие договоры должны предусматривать цену продаваемого имущества, которая может быть установлена за единицу его площади или иным образом (пункт 3 статьи 555 ГК РФ).</w:t>
      </w:r>
    </w:p>
    <w:p>
      <w:pPr>
        <w:widowControl/>
        <w:spacing w:after="280" w:line="312" w:lineRule="auto"/>
        <w:ind w:firstLine="567"/>
        <w:jc w:val="both"/>
      </w:pPr>
      <w:r>
        <w:rPr>
          <w:rFonts w:ascii="Inter" w:hAnsi="Inter"/>
          <w:color w:val="655D50"/>
          <w:sz w:val="24"/>
        </w:rPr>
        <w:t>В случае если в тексте договора купли-продажи недвижимой вещи недостаточно данных для индивидуализации проданного объекта недвижимости, однако они имеются, например, в акте приема-передачи, составленном сторонами во исполнение заключенного ими договора, то такой договор не может быть признан незаключенным. В связи с изложенным отказ органа по регистрации прав на недвижимое имущество и сделок с ним в государственной регистрации перехода права собственности на переданное имущество к покупателю со ссылкой на то, что договор купли-продажи не может считаться заключенным, не соответствует закону и может быть признан судом незаконным в порядке, предусмотренном частью 2 статьи 201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Постановление Пленума ВАС РФ от 11.07.2011 № 54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некоторых вопросах разрешения споров, возникающих из договоров по поводу недвижимости, которая будет создана или приобретена в будущем</dc:title>
  <dc:subject/>
  <dc:creator>CasusLegal</dc:creator>
  <cp:keywords/>
  <dc:description/>
  <cp:lastModifiedBy>CasusLegal</cp:lastModifiedBy>
  <cp:revision>1</cp:revision>
  <dcterms:created xsi:type="dcterms:W3CDTF">2026-08-16T12:13:23Z</dcterms:created>
  <dcterms:modified xsi:type="dcterms:W3CDTF">2026-08-16T12:13:23Z</dcterms:modified>
  <cp:category/>
</cp:coreProperties>
</file>