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 свободе договора и ее пределах</w:t>
      </w:r>
    </w:p>
    <w:p>
      <w:pPr>
        <w:spacing w:after="40"/>
      </w:pPr>
      <w:r>
        <w:rPr>
          <w:rFonts w:ascii="Inter" w:hAnsi="Inter"/>
          <w:b/>
          <w:color w:val="8B8171"/>
          <w:sz w:val="18"/>
        </w:rPr>
        <w:t xml:space="preserve">Суд: </w:t>
      </w:r>
      <w:r>
        <w:rPr>
          <w:rFonts w:ascii="Inter" w:hAnsi="Inter"/>
          <w:color w:val="655D50"/>
          <w:sz w:val="18"/>
        </w:rPr>
        <w:t>Пленум ВАС РФ</w:t>
      </w:r>
    </w:p>
    <w:p>
      <w:pPr>
        <w:spacing w:after="40"/>
      </w:pPr>
      <w:r>
        <w:rPr>
          <w:rFonts w:ascii="Inter" w:hAnsi="Inter"/>
          <w:b/>
          <w:color w:val="8B8171"/>
          <w:sz w:val="18"/>
        </w:rPr>
        <w:t xml:space="preserve">Дата: </w:t>
      </w:r>
      <w:r>
        <w:rPr>
          <w:rFonts w:ascii="Inter" w:hAnsi="Inter"/>
          <w:color w:val="655D50"/>
          <w:sz w:val="18"/>
        </w:rPr>
        <w:t>14.03.2014</w:t>
      </w:r>
    </w:p>
    <w:p>
      <w:pPr>
        <w:spacing w:after="40"/>
      </w:pPr>
      <w:r>
        <w:rPr>
          <w:rFonts w:ascii="Inter" w:hAnsi="Inter"/>
          <w:b/>
          <w:color w:val="8B8171"/>
          <w:sz w:val="18"/>
        </w:rPr>
        <w:t xml:space="preserve">Номер дела: </w:t>
      </w:r>
      <w:r>
        <w:rPr>
          <w:rFonts w:ascii="Inter" w:hAnsi="Inter"/>
          <w:color w:val="655D50"/>
          <w:sz w:val="18"/>
        </w:rPr>
        <w:t>Постановление Пленума ВАС РФ от 14.03.2014 № 16</w:t>
      </w:r>
    </w:p>
    <w:p>
      <w:pPr>
        <w:spacing w:after="40"/>
      </w:pPr>
      <w:r>
        <w:rPr>
          <w:rFonts w:ascii="Inter" w:hAnsi="Inter"/>
          <w:b/>
          <w:color w:val="8B8171"/>
          <w:sz w:val="18"/>
        </w:rPr>
        <w:t xml:space="preserve">Применённые нормы: </w:t>
      </w:r>
      <w:r>
        <w:rPr>
          <w:rFonts w:ascii="Inter" w:hAnsi="Inter"/>
          <w:color w:val="655D50"/>
          <w:sz w:val="18"/>
        </w:rPr>
        <w:t>ст. 1, ст. 1 ГК, ст. 10 ГК, ст. 13, ст. 28.2, ст. 29, ст. 4 ГК, ст. 410 ГК, ст. 421, ст. 421 ГК, ст. 422 ГК, ст. 427 ГК, ст. 428 ГК, ст. 463 ГК, ст. 544 ГК, ст. 6 ГК, ст. 610 ГК, ст. 782 ГК</w:t>
      </w:r>
    </w:p>
    <w:p>
      <w:pPr>
        <w:spacing w:after="40"/>
      </w:pPr>
      <w:r>
        <w:rPr>
          <w:rFonts w:ascii="Inter" w:hAnsi="Inter"/>
          <w:b/>
          <w:color w:val="8B8171"/>
          <w:sz w:val="18"/>
        </w:rPr>
        <w:t xml:space="preserve">Теги: </w:t>
      </w:r>
      <w:r>
        <w:rPr>
          <w:rFonts w:ascii="Inter" w:hAnsi="Inter"/>
          <w:color w:val="655D50"/>
          <w:sz w:val="18"/>
        </w:rPr>
        <w:t>Процессуальные вопросы</w:t>
      </w:r>
    </w:p>
    <w:p>
      <w:pPr>
        <w:spacing w:before="280" w:after="80"/>
      </w:pPr>
      <w:r>
        <w:rPr>
          <w:rFonts w:ascii="Cormorant Garamond" w:hAnsi="Cormorant Garamond"/>
          <w:b/>
          <w:color w:val="B63A26"/>
          <w:sz w:val="28"/>
        </w:rPr>
        <w:t>Пункт 9</w:t>
      </w:r>
    </w:p>
    <w:p>
      <w:pPr>
        <w:widowControl/>
        <w:spacing w:after="280" w:line="312" w:lineRule="auto"/>
        <w:ind w:firstLine="567"/>
        <w:jc w:val="both"/>
      </w:pPr>
      <w:r>
        <w:rPr>
          <w:rFonts w:ascii="Inter" w:hAnsi="Inter"/>
          <w:color w:val="655D50"/>
          <w:sz w:val="24"/>
        </w:rPr>
        <w:t>При рассмотрении споров, возникающих из договоров, включая те, исполнение которых связано с осуществлением всеми его сторонами предпринимательской деятельности, судам следует принимать во внимание следующее.</w:t>
      </w:r>
    </w:p>
    <w:p>
      <w:pPr>
        <w:widowControl/>
        <w:spacing w:after="280" w:line="312" w:lineRule="auto"/>
        <w:ind w:firstLine="567"/>
        <w:jc w:val="both"/>
      </w:pPr>
      <w:r>
        <w:rPr>
          <w:rFonts w:ascii="Inter" w:hAnsi="Inter"/>
          <w:color w:val="655D50"/>
          <w:sz w:val="24"/>
        </w:rPr>
        <w:t>В тех случаях, когда будет установлено, что при заключении договора, проект которого был предложен одной из сторон и содержал в себе условия, являющиеся явно обременительными для ее контрагента и существенным образом нарушающие баланс интересов сторон (несправедливые договорные условия), а контрагент был поставлен в положение, затрудняющее согласование иного содержания отдельных условий договора (то есть оказался слабой стороной договора), суд вправе применить к такому договору положения пункта 2 статьи 428 ГК РФ о договорах присоединения, изменив или расторгнув соответствующий договор по требованию такого контрагента.</w:t>
      </w:r>
    </w:p>
    <w:p>
      <w:pPr>
        <w:widowControl/>
        <w:spacing w:after="280" w:line="312" w:lineRule="auto"/>
        <w:ind w:firstLine="567"/>
        <w:jc w:val="both"/>
      </w:pPr>
      <w:r>
        <w:rPr>
          <w:rFonts w:ascii="Inter" w:hAnsi="Inter"/>
          <w:color w:val="655D50"/>
          <w:sz w:val="24"/>
        </w:rPr>
        <w:t>В то же время, поскольку согласно пункту 4 статьи 1 ГК РФ никто не вправе извлекать преимущество из своего недобросовестного поведения, слабая сторона договора вправе заявить о недопустимости применения несправедливых договорных условий на основании статьи 10 ГК РФ или о ничтожности таких условий по статье 169 ГК РФ.</w:t>
      </w:r>
    </w:p>
    <w:p>
      <w:pPr>
        <w:widowControl/>
        <w:spacing w:after="280" w:line="312" w:lineRule="auto"/>
        <w:ind w:firstLine="567"/>
        <w:jc w:val="both"/>
      </w:pPr>
      <w:r>
        <w:rPr>
          <w:rFonts w:ascii="Inter" w:hAnsi="Inter"/>
          <w:color w:val="655D50"/>
          <w:sz w:val="24"/>
        </w:rPr>
        <w:t>В частности, при рассмотрении спора о взыскании убытков, причиненных нарушением договора, суд может с учетом конкретных обстоятельств заключения договора и его условий не применить условие договора об ограничении ответственности должника-предпринимателя только случаями умышленного нарушения договора с его стороны или условие о том, что он не отвечает за неисполнение обязательства вследствие нарушений, допущенных его контрагентами по иным договорам. Также с учетом конкретных обстоятельств заключения договора и его условий в целом может быть признано несправедливым и не применено судом условие об обязанности слабой стороны договора, осуществляющей свое право на односторонний отказ от договора, уплатить за это денежную сумму, которая явно несоразмерна потерям другой стороны от досрочного прекращения договора.</w:t>
      </w:r>
    </w:p>
    <w:p>
      <w:pPr>
        <w:widowControl/>
        <w:spacing w:after="280" w:line="312" w:lineRule="auto"/>
        <w:ind w:firstLine="567"/>
        <w:jc w:val="both"/>
      </w:pPr>
      <w:r>
        <w:rPr>
          <w:rFonts w:ascii="Inter" w:hAnsi="Inter"/>
          <w:color w:val="655D50"/>
          <w:sz w:val="24"/>
        </w:rPr>
        <w:t>Постановление Пленума ВАС РФ от 14.03.2014 № 16</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свободе договора и ее пределах</dc:title>
  <dc:subject/>
  <dc:creator>CasusLegal</dc:creator>
  <cp:keywords/>
  <dc:description/>
  <cp:lastModifiedBy>CasusLegal</cp:lastModifiedBy>
  <cp:revision>1</cp:revision>
  <dcterms:created xsi:type="dcterms:W3CDTF">2026-08-16T12:10:56Z</dcterms:created>
  <dcterms:modified xsi:type="dcterms:W3CDTF">2026-08-16T12:10:56Z</dcterms:modified>
  <cp:category/>
</cp:coreProperties>
</file>