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 свободе договора и ее пределах</w:t>
      </w:r>
    </w:p>
    <w:p>
      <w:pPr>
        <w:spacing w:after="40"/>
      </w:pPr>
      <w:r>
        <w:rPr>
          <w:rFonts w:ascii="Inter" w:hAnsi="Inter"/>
          <w:b/>
          <w:color w:val="8B8171"/>
          <w:sz w:val="18"/>
        </w:rPr>
        <w:t xml:space="preserve">Суд: </w:t>
      </w:r>
      <w:r>
        <w:rPr>
          <w:rFonts w:ascii="Inter" w:hAnsi="Inter"/>
          <w:color w:val="655D50"/>
          <w:sz w:val="18"/>
        </w:rPr>
        <w:t>Пленум ВАС РФ</w:t>
      </w:r>
    </w:p>
    <w:p>
      <w:pPr>
        <w:spacing w:after="40"/>
      </w:pPr>
      <w:r>
        <w:rPr>
          <w:rFonts w:ascii="Inter" w:hAnsi="Inter"/>
          <w:b/>
          <w:color w:val="8B8171"/>
          <w:sz w:val="18"/>
        </w:rPr>
        <w:t xml:space="preserve">Дата: </w:t>
      </w:r>
      <w:r>
        <w:rPr>
          <w:rFonts w:ascii="Inter" w:hAnsi="Inter"/>
          <w:color w:val="655D50"/>
          <w:sz w:val="18"/>
        </w:rPr>
        <w:t>14.03.2014</w:t>
      </w:r>
    </w:p>
    <w:p>
      <w:pPr>
        <w:spacing w:after="40"/>
      </w:pPr>
      <w:r>
        <w:rPr>
          <w:rFonts w:ascii="Inter" w:hAnsi="Inter"/>
          <w:b/>
          <w:color w:val="8B8171"/>
          <w:sz w:val="18"/>
        </w:rPr>
        <w:t xml:space="preserve">Номер дела: </w:t>
      </w:r>
      <w:r>
        <w:rPr>
          <w:rFonts w:ascii="Inter" w:hAnsi="Inter"/>
          <w:color w:val="655D50"/>
          <w:sz w:val="18"/>
        </w:rPr>
        <w:t>Постановление Пленума ВАС РФ от 14.03.2014 № 16</w:t>
      </w:r>
    </w:p>
    <w:p>
      <w:pPr>
        <w:spacing w:after="40"/>
      </w:pPr>
      <w:r>
        <w:rPr>
          <w:rFonts w:ascii="Inter" w:hAnsi="Inter"/>
          <w:b/>
          <w:color w:val="8B8171"/>
          <w:sz w:val="18"/>
        </w:rPr>
        <w:t xml:space="preserve">Применённые нормы: </w:t>
      </w:r>
      <w:r>
        <w:rPr>
          <w:rFonts w:ascii="Inter" w:hAnsi="Inter"/>
          <w:color w:val="655D50"/>
          <w:sz w:val="18"/>
        </w:rPr>
        <w:t>ст. 1, ст. 1 ГК, ст. 10 ГК, ст. 13, ст. 28.2, ст. 29, ст. 4 ГК, ст. 410 ГК, ст. 421, ст. 421 ГК, ст. 422 ГК, ст. 427 ГК, ст. 428 ГК, ст. 463 ГК, ст. 544 ГК, ст. 6 ГК, ст. 610 ГК, ст. 782 ГК</w:t>
      </w:r>
    </w:p>
    <w:p>
      <w:pPr>
        <w:spacing w:after="40"/>
      </w:pPr>
      <w:r>
        <w:rPr>
          <w:rFonts w:ascii="Inter" w:hAnsi="Inter"/>
          <w:b/>
          <w:color w:val="8B8171"/>
          <w:sz w:val="18"/>
        </w:rPr>
        <w:t xml:space="preserve">Теги: </w:t>
      </w:r>
      <w:r>
        <w:rPr>
          <w:rFonts w:ascii="Inter" w:hAnsi="Inter"/>
          <w:color w:val="655D50"/>
          <w:sz w:val="18"/>
        </w:rPr>
        <w:t>Процессуальные вопросы</w:t>
      </w:r>
    </w:p>
    <w:p>
      <w:pPr>
        <w:spacing w:before="280" w:after="80"/>
      </w:pPr>
      <w:r>
        <w:rPr>
          <w:rFonts w:ascii="Cormorant Garamond" w:hAnsi="Cormorant Garamond"/>
          <w:b/>
          <w:color w:val="B63A26"/>
          <w:sz w:val="28"/>
        </w:rPr>
        <w:t>Пункт 4</w:t>
      </w:r>
    </w:p>
    <w:p>
      <w:pPr>
        <w:widowControl/>
        <w:spacing w:after="280" w:line="312" w:lineRule="auto"/>
        <w:ind w:firstLine="567"/>
        <w:jc w:val="both"/>
      </w:pPr>
      <w:r>
        <w:rPr>
          <w:rFonts w:ascii="Inter" w:hAnsi="Inter"/>
          <w:color w:val="655D50"/>
          <w:sz w:val="24"/>
        </w:rPr>
        <w:t>Если норма не содержит явно выраженного запрета на установление соглашением сторон условия договора, отличного от предусмотренного в ней, и отсутствуют критерии императивности, указанные в пункте 3 настоящего постановления, она должна рассматриваться как диспозитивная. В таком случае отличие условий договора от содержания данной нормы само по себе не может служить основанием для признания этого договора или отдельных его условий недействительными по статье 168 ГК РФ.</w:t>
      </w:r>
    </w:p>
    <w:p>
      <w:pPr>
        <w:widowControl/>
        <w:spacing w:after="280" w:line="312" w:lineRule="auto"/>
        <w:ind w:firstLine="567"/>
        <w:jc w:val="both"/>
      </w:pPr>
      <w:r>
        <w:rPr>
          <w:rFonts w:ascii="Inter" w:hAnsi="Inter"/>
          <w:color w:val="655D50"/>
          <w:sz w:val="24"/>
        </w:rPr>
        <w:t>Например, статья 475 ГК РФ о последствиях передачи покупателю товара ненадлежащего качества не исключает право сторон своим соглашением предусмотреть иные последствия названного нарушения (в том числе по-иному определить критерии существенности недостатков товара или дополнить те права, которые предоставляются данной статьей покупателю).</w:t>
      </w:r>
    </w:p>
    <w:p>
      <w:pPr>
        <w:widowControl/>
        <w:spacing w:after="280" w:line="312" w:lineRule="auto"/>
        <w:ind w:firstLine="567"/>
        <w:jc w:val="both"/>
      </w:pPr>
      <w:r>
        <w:rPr>
          <w:rFonts w:ascii="Inter" w:hAnsi="Inter"/>
          <w:color w:val="655D50"/>
          <w:sz w:val="24"/>
        </w:rPr>
        <w:t>Положения статьи 782 ГК РФ, дающие каждой из сторон договора возмездного оказания услуг право на немотивированный односторонний отказ от исполнения договора и предусматривающие неравное распределение между сторонами неблагоприятных последствий прекращения договора, не исключают возможность согласования сторонами договора иного режима определения последствий отказа от договора (например, полное возмещение убытков при отказе от договора как со стороны исполнителя, так и со стороны заказчика) либо установления соглашением сторон порядка осуществления права на отказ от исполнения договора возмездного оказания услуг (в частности, односторонний отказ стороны от договора, исполнение которого связано с осуществлением обеими его сторонами предпринимательской деятельности, может быть обусловлен необходимостью выплаты определенной денежной суммы другой стороне).</w:t>
      </w:r>
    </w:p>
    <w:p>
      <w:pPr>
        <w:widowControl/>
        <w:spacing w:after="280" w:line="312" w:lineRule="auto"/>
        <w:ind w:firstLine="567"/>
        <w:jc w:val="both"/>
      </w:pPr>
      <w:r>
        <w:rPr>
          <w:rFonts w:ascii="Inter" w:hAnsi="Inter"/>
          <w:color w:val="655D50"/>
          <w:sz w:val="24"/>
        </w:rPr>
        <w:t>Нормы статьи 410 ГК РФ, устанавливающие предпосылки прекращения обязательства односторонним заявлением о зачете, не означают запрета соглашения договаривающихся сторон о прекращении неоднородных обязательств или обязательств с ненаступившими сроками исполнения и т.п.</w:t>
      </w:r>
    </w:p>
    <w:p>
      <w:pPr>
        <w:widowControl/>
        <w:spacing w:after="280" w:line="312" w:lineRule="auto"/>
        <w:ind w:firstLine="567"/>
        <w:jc w:val="both"/>
      </w:pPr>
      <w:r>
        <w:rPr>
          <w:rFonts w:ascii="Inter" w:hAnsi="Inter"/>
          <w:color w:val="655D50"/>
          <w:sz w:val="24"/>
        </w:rPr>
        <w:t>Постановление Пленума ВАС РФ от 14.03.2014 № 16</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свободе договора и ее пределах</dc:title>
  <dc:subject/>
  <dc:creator>CasusLegal</dc:creator>
  <cp:keywords/>
  <dc:description/>
  <cp:lastModifiedBy>CasusLegal</cp:lastModifiedBy>
  <cp:revision>1</cp:revision>
  <dcterms:created xsi:type="dcterms:W3CDTF">2026-08-16T12:10:57Z</dcterms:created>
  <dcterms:modified xsi:type="dcterms:W3CDTF">2026-08-16T12:10:57Z</dcterms:modified>
  <cp:category/>
</cp:coreProperties>
</file>