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 свободе договора и ее пределах</w:t>
      </w:r>
    </w:p>
    <w:p>
      <w:pPr>
        <w:spacing w:after="40"/>
      </w:pPr>
      <w:r>
        <w:rPr>
          <w:rFonts w:ascii="Inter" w:hAnsi="Inter"/>
          <w:b/>
          <w:color w:val="8B8171"/>
          <w:sz w:val="18"/>
        </w:rPr>
        <w:t xml:space="preserve">Суд: </w:t>
      </w:r>
      <w:r>
        <w:rPr>
          <w:rFonts w:ascii="Inter" w:hAnsi="Inter"/>
          <w:color w:val="655D50"/>
          <w:sz w:val="18"/>
        </w:rPr>
        <w:t>Пленум ВАС РФ</w:t>
      </w:r>
    </w:p>
    <w:p>
      <w:pPr>
        <w:spacing w:after="40"/>
      </w:pPr>
      <w:r>
        <w:rPr>
          <w:rFonts w:ascii="Inter" w:hAnsi="Inter"/>
          <w:b/>
          <w:color w:val="8B8171"/>
          <w:sz w:val="18"/>
        </w:rPr>
        <w:t xml:space="preserve">Дата: </w:t>
      </w:r>
      <w:r>
        <w:rPr>
          <w:rFonts w:ascii="Inter" w:hAnsi="Inter"/>
          <w:color w:val="655D50"/>
          <w:sz w:val="18"/>
        </w:rPr>
        <w:t>14.03.2014</w:t>
      </w:r>
    </w:p>
    <w:p>
      <w:pPr>
        <w:spacing w:after="40"/>
      </w:pPr>
      <w:r>
        <w:rPr>
          <w:rFonts w:ascii="Inter" w:hAnsi="Inter"/>
          <w:b/>
          <w:color w:val="8B8171"/>
          <w:sz w:val="18"/>
        </w:rPr>
        <w:t xml:space="preserve">Номер дела: </w:t>
      </w:r>
      <w:r>
        <w:rPr>
          <w:rFonts w:ascii="Inter" w:hAnsi="Inter"/>
          <w:color w:val="655D50"/>
          <w:sz w:val="18"/>
        </w:rPr>
        <w:t>Постановление Пленума ВАС РФ от 14.03.2014 № 16</w:t>
      </w:r>
    </w:p>
    <w:p>
      <w:pPr>
        <w:spacing w:after="40"/>
      </w:pPr>
      <w:r>
        <w:rPr>
          <w:rFonts w:ascii="Inter" w:hAnsi="Inter"/>
          <w:b/>
          <w:color w:val="8B8171"/>
          <w:sz w:val="18"/>
        </w:rPr>
        <w:t xml:space="preserve">Применённые нормы: </w:t>
      </w:r>
      <w:r>
        <w:rPr>
          <w:rFonts w:ascii="Inter" w:hAnsi="Inter"/>
          <w:color w:val="655D50"/>
          <w:sz w:val="18"/>
        </w:rPr>
        <w:t>ст. 1, ст. 1 ГК, ст. 10 ГК, ст. 13, ст. 28.2, ст. 29, ст. 4 ГК, ст. 410 ГК, ст. 421, ст. 421 ГК, ст. 422 ГК, ст. 427 ГК, ст. 428 ГК, ст. 463 ГК, ст. 544 ГК, ст. 6 ГК, ст. 610 ГК, ст. 782 ГК</w:t>
      </w:r>
    </w:p>
    <w:p>
      <w:pPr>
        <w:spacing w:after="40"/>
      </w:pPr>
      <w:r>
        <w:rPr>
          <w:rFonts w:ascii="Inter" w:hAnsi="Inter"/>
          <w:b/>
          <w:color w:val="8B8171"/>
          <w:sz w:val="18"/>
        </w:rPr>
        <w:t xml:space="preserve">Теги: </w:t>
      </w:r>
      <w:r>
        <w:rPr>
          <w:rFonts w:ascii="Inter" w:hAnsi="Inter"/>
          <w:color w:val="655D50"/>
          <w:sz w:val="18"/>
        </w:rPr>
        <w:t>Процессуальные вопросы</w:t>
      </w:r>
    </w:p>
    <w:p>
      <w:pPr>
        <w:spacing w:before="280" w:after="80"/>
      </w:pPr>
      <w:r>
        <w:rPr>
          <w:rFonts w:ascii="Cormorant Garamond" w:hAnsi="Cormorant Garamond"/>
          <w:b/>
          <w:color w:val="B63A26"/>
          <w:sz w:val="28"/>
        </w:rPr>
        <w:t>Пункт 3</w:t>
      </w:r>
    </w:p>
    <w:p>
      <w:pPr>
        <w:widowControl/>
        <w:spacing w:after="280" w:line="312" w:lineRule="auto"/>
        <w:ind w:firstLine="567"/>
        <w:jc w:val="both"/>
      </w:pPr>
      <w:r>
        <w:rPr>
          <w:rFonts w:ascii="Inter" w:hAnsi="Inter"/>
          <w:color w:val="655D50"/>
          <w:sz w:val="24"/>
        </w:rPr>
        <w:t>При отсутствии в норме, регулирующей права и обязанности по договору, явно выраженного запрета установить иное, она является императивной, если исходя из целей законодательного регулирования это необходимо для защиты особо значимых охраняемых законом интересов (интересов слабой стороны договора, третьих лиц, публичных интересов и т.д.), недопущения грубого нарушения баланса интересов сторон либо императивность нормы вытекает из существа законодательного регулирования данного вида договора. В таком случае суд констатирует, что исключение соглашением сторон ее применения или установление условия, отличного от предусмотренного в ней, недопустимо либо в целом, либо в той части, в которой она направлена на защиту названных интересов.</w:t>
      </w:r>
    </w:p>
    <w:p>
      <w:pPr>
        <w:widowControl/>
        <w:spacing w:after="280" w:line="312" w:lineRule="auto"/>
        <w:ind w:firstLine="567"/>
        <w:jc w:val="both"/>
      </w:pPr>
      <w:r>
        <w:rPr>
          <w:rFonts w:ascii="Inter" w:hAnsi="Inter"/>
          <w:color w:val="655D50"/>
          <w:sz w:val="24"/>
        </w:rPr>
        <w:t>При этом, если норма содержит прямое указание на возможность предусмотреть иное соглашением сторон, суд исходя из существа нормы и целей законодательного регулирования может истолковать такое указание ограничительно, то есть сделать вывод о том, что диспозитивность этой нормы ограничена определенными пределами, в рамках которых стороны договора свободны установить условие, отличное от содержащегося в ней правила.</w:t>
      </w:r>
    </w:p>
    <w:p>
      <w:pPr>
        <w:widowControl/>
        <w:spacing w:after="280" w:line="312" w:lineRule="auto"/>
        <w:ind w:firstLine="567"/>
        <w:jc w:val="both"/>
      </w:pPr>
      <w:r>
        <w:rPr>
          <w:rFonts w:ascii="Inter" w:hAnsi="Inter"/>
          <w:color w:val="655D50"/>
          <w:sz w:val="24"/>
        </w:rPr>
        <w:t>При возникновении спора об императивном или диспозитивном характере нормы, регулирующей права и обязанности по договору, суд должен указать, каким образом существо законодательного регулирования данного вида договора, необходимость защиты соответствующих особо значимых охраняемых законом интересов или недопущение грубого нарушения баланса интересов сторон предопределяют императивность этой нормы либо пределы ее диспозитивности.</w:t>
      </w:r>
    </w:p>
    <w:p>
      <w:pPr>
        <w:widowControl/>
        <w:spacing w:after="280" w:line="312" w:lineRule="auto"/>
        <w:ind w:firstLine="567"/>
        <w:jc w:val="both"/>
      </w:pPr>
      <w:r>
        <w:rPr>
          <w:rFonts w:ascii="Inter" w:hAnsi="Inter"/>
          <w:color w:val="655D50"/>
          <w:sz w:val="24"/>
        </w:rPr>
        <w:t>Например, пункт 2 статьи 610 ГК РФ предусматривает право каждой из сторон договора аренды, заключенного на неопределенный срок, немотивированно отказаться от договора, предупредив об этом другую сторону в названные в данной норме сроки. Эта норма хотя и не содержит явно выраженного запрета на установление иного соглашением сторон, но из существа законодательного регулирования договора аренды как договора о передаче имущества во временное владение и пользование или во временное пользование (статья 606 ГК РФ) следует, что стороны такого договора аренды не могут полностью исключить право на отказ от договора, так как в результате этого передача имущества во владение и пользование фактически утратила бы временный характер.</w:t>
      </w:r>
    </w:p>
    <w:p>
      <w:pPr>
        <w:widowControl/>
        <w:spacing w:after="280" w:line="312" w:lineRule="auto"/>
        <w:ind w:firstLine="567"/>
        <w:jc w:val="both"/>
      </w:pPr>
      <w:r>
        <w:rPr>
          <w:rFonts w:ascii="Inter" w:hAnsi="Inter"/>
          <w:color w:val="655D50"/>
          <w:sz w:val="24"/>
        </w:rPr>
        <w:t>Пункт 1 статьи 463 ГК РФ, в соответствии с которым покупатель вправе отказаться от исполнения договора купли-продажи, если продавец отказывается передать покупателю проданный товар, не содержит явно выраженного запрета предусмотреть договором иное, например, судебный порядок расторжения договора по названному основанию вместо права на односторонний отказ от его исполнения. Однако договором не может быть полностью устранена возможность его прекращения по инициативе покупателя в ситуации, когда продавец отказывается передать ему проданный товар, поскольку это грубо нарушило бы баланс интересов сторон.</w:t>
      </w:r>
    </w:p>
    <w:p>
      <w:pPr>
        <w:widowControl/>
        <w:spacing w:after="280" w:line="312" w:lineRule="auto"/>
        <w:ind w:firstLine="567"/>
        <w:jc w:val="both"/>
      </w:pPr>
      <w:r>
        <w:rPr>
          <w:rFonts w:ascii="Inter" w:hAnsi="Inter"/>
          <w:color w:val="655D50"/>
          <w:sz w:val="24"/>
        </w:rPr>
        <w:t>Согласно пункту 1 статьи 544 ГК РФ оплата энергии производится за фактически принятое абонентом количество энергии в соответствии с данными учета энергии, если иное не предусмотрено законом, иными правовыми актами или соглашением сторон договора энергоснабжения (купли-продажи (поставки) энергии). Если плата за единицу поставляемого ресурса является регулируемой, то указанная норма может быть истолкована лишь следующим образом: установление соглашением сторон иного количества энергии, которое оплачивает абонент (потребитель, покупатель), допускается только тогда, когда невозможно определить фактически принятое им количество энергии в соответствии с данными учета, а закон или иные правовые акты не содержат порядка определения такого количества в отсутствие данных учета. Это правило направлено на защиту публичных интересов, обеспечиваемых государственным регулированием тарифов.</w:t>
      </w:r>
    </w:p>
    <w:p>
      <w:pPr>
        <w:widowControl/>
        <w:spacing w:after="280" w:line="312" w:lineRule="auto"/>
        <w:ind w:firstLine="567"/>
        <w:jc w:val="both"/>
      </w:pPr>
      <w:r>
        <w:rPr>
          <w:rFonts w:ascii="Inter" w:hAnsi="Inter"/>
          <w:color w:val="655D50"/>
          <w:sz w:val="24"/>
        </w:rPr>
        <w:t>В силу пункта 12 статьи 28.2 Закона Российской Федерации от 29.05.1992 № 2872-1 "О залоге", если при реализации заложенного движимого имущества во внесудебном порядке федеральным законом предусмотрено обязательное привлечение оценщика, начальная продажная цена заложенного движимого имущества, с которой начинаются торги, устанавливается равной восьмидесяти процентам рыночной стоимости такого имущества, определенной в отчете оценщика, если иное не предусмотрено договором о залоге, содержащим условие об обращении взыскания на заложенное движимое имущество во внесудебном порядке. Это означает, что стороны своим соглашением вправе лишь увеличить начальную продажную цену по сравнению с предусмотренным названным пунктом общим правилом, но она не может быть установлена соглашением сторон ниже восьмидесяти процентов стоимости, определенной в отчете оценщика. Императивность данной нормы в части недопустимости снижения начальной продажной цены обеспечивает защиту охраняемых законом интересов как залогодателя, так и третьих лиц - других кредиторов залогодателя, которые вправе претендовать на удовлетворение своих требований за счет суммы, оставшейся после удовлетворения требований, обеспеченных залогом.</w:t>
      </w:r>
    </w:p>
    <w:p>
      <w:pPr>
        <w:widowControl/>
        <w:spacing w:after="280" w:line="312" w:lineRule="auto"/>
        <w:ind w:firstLine="567"/>
        <w:jc w:val="both"/>
      </w:pPr>
      <w:r>
        <w:rPr>
          <w:rFonts w:ascii="Inter" w:hAnsi="Inter"/>
          <w:color w:val="655D50"/>
          <w:sz w:val="24"/>
        </w:rPr>
        <w:t>Постановление Пленума ВАС РФ от 14.03.2014 № 16</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свободе договора и ее пределах</dc:title>
  <dc:subject/>
  <dc:creator>CasusLegal</dc:creator>
  <cp:keywords/>
  <dc:description/>
  <cp:lastModifiedBy>CasusLegal</cp:lastModifiedBy>
  <cp:revision>1</cp:revision>
  <dcterms:created xsi:type="dcterms:W3CDTF">2026-08-16T12:10:58Z</dcterms:created>
  <dcterms:modified xsi:type="dcterms:W3CDTF">2026-08-16T12:10:58Z</dcterms:modified>
  <cp:category/>
</cp:coreProperties>
</file>