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24.07.2026 № 305-ЭС25-14939 по делу № А40-186192/2024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24.07.2026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24.07.2026 № 305-ЭС25-14939 по делу № А40-186192/2024</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333 ГК РФ, ст. 8 АПК РФ</w:t>
      </w:r>
    </w:p>
    <w:p>
      <w:pPr>
        <w:spacing w:after="40"/>
      </w:pPr>
      <w:r>
        <w:rPr>
          <w:rFonts w:ascii="Inter" w:hAnsi="Inter"/>
          <w:b/>
          <w:color w:val="8B8171"/>
          <w:sz w:val="18"/>
        </w:rPr>
        <w:t xml:space="preserve">Теги: </w:t>
      </w:r>
      <w:r>
        <w:rPr>
          <w:rFonts w:ascii="Inter" w:hAnsi="Inter"/>
          <w:color w:val="655D50"/>
          <w:sz w:val="18"/>
        </w:rPr>
        <w:t>Договорный штраф, Уменьшение неустойки, Соразмерность неустойки последствиям нарушения, Оценка доказательств несоразмерности, Единообразие судебной практики, Статья 333 ГК РФ, Постановление Пленума ВС РФ № 7, Новое апелляционное рассмотрение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Обжаловалось взыскание с заказчика 124,44 млн руб. договорного штрафа за непредставление заявок и невыполнение базового объема погрузки. Коллегия указала, что при заявлении предпринимателя о снижении неустойки суд обязан оценить доказательства ее явной несоразмерности, сложившиеся отношения сторон и единообразие разрешения аналогичных споров, а не ограничиваться формальной ссылкой на статью 333 ГК РФ. Доводы об отсутствии оснований ответственности были направлены на переоценку установленных фактов и отклонены. Постановления апелляционного суда и суда округа отменены, дело направлено на новое апелляционное рассмотрение для повторного разрешения заявления о снижении штрафа.</w:t>
      </w:r>
    </w:p>
    <w:p>
      <w:pPr>
        <w:widowControl/>
        <w:spacing w:after="280" w:line="312" w:lineRule="auto"/>
        <w:ind w:firstLine="567"/>
        <w:jc w:val="both"/>
      </w:pPr>
      <w:r>
        <w:rPr>
          <w:rFonts w:ascii="Inter" w:hAnsi="Inter"/>
          <w:color w:val="655D50"/>
          <w:sz w:val="24"/>
        </w:rPr>
        <w:t>Категория: Вспомогательные договоры в сфере транспортной деятельности.</w:t>
      </w:r>
    </w:p>
    <w:p>
      <w:pPr>
        <w:widowControl/>
        <w:spacing w:after="280" w:line="312" w:lineRule="auto"/>
        <w:ind w:firstLine="567"/>
        <w:jc w:val="both"/>
      </w:pPr>
      <w:r>
        <w:rPr>
          <w:rFonts w:ascii="Inter" w:hAnsi="Inter"/>
          <w:color w:val="655D50"/>
          <w:sz w:val="24"/>
        </w:rPr>
        <w:t>Требования: 1) О взыскании штрафа.</w:t>
      </w:r>
    </w:p>
    <w:p>
      <w:pPr>
        <w:widowControl/>
        <w:spacing w:after="280" w:line="312" w:lineRule="auto"/>
        <w:ind w:firstLine="567"/>
        <w:jc w:val="both"/>
      </w:pPr>
      <w:r>
        <w:rPr>
          <w:rFonts w:ascii="Inter" w:hAnsi="Inter"/>
          <w:color w:val="655D50"/>
          <w:sz w:val="24"/>
        </w:rPr>
        <w:t>Встречные требования: 2) О взыскании неустойки.</w:t>
      </w:r>
    </w:p>
    <w:p>
      <w:pPr>
        <w:widowControl/>
        <w:spacing w:after="280" w:line="312" w:lineRule="auto"/>
        <w:ind w:firstLine="567"/>
        <w:jc w:val="both"/>
      </w:pPr>
      <w:r>
        <w:rPr>
          <w:rFonts w:ascii="Inter" w:hAnsi="Inter"/>
          <w:color w:val="655D50"/>
          <w:sz w:val="24"/>
        </w:rPr>
        <w:t>Исполнитель ссылается на то, что невыполнение согласованного объема связано с действиями заказчика по непредставлению заявок заказчиком исполнителю.</w:t>
      </w:r>
    </w:p>
    <w:p>
      <w:pPr>
        <w:widowControl/>
        <w:spacing w:after="280" w:line="312" w:lineRule="auto"/>
        <w:ind w:firstLine="567"/>
        <w:jc w:val="both"/>
      </w:pPr>
      <w:r>
        <w:rPr>
          <w:rFonts w:ascii="Inter" w:hAnsi="Inter"/>
          <w:color w:val="655D50"/>
          <w:sz w:val="24"/>
        </w:rPr>
        <w:t>Резолютивная часть определения объявлена 13 июля 2026 г.</w:t>
      </w:r>
    </w:p>
    <w:p>
      <w:pPr>
        <w:widowControl/>
        <w:spacing w:after="280" w:line="312" w:lineRule="auto"/>
        <w:ind w:firstLine="567"/>
        <w:jc w:val="both"/>
      </w:pPr>
      <w:r>
        <w:rPr>
          <w:rFonts w:ascii="Inter" w:hAnsi="Inter"/>
          <w:color w:val="655D50"/>
          <w:sz w:val="24"/>
        </w:rPr>
        <w:t>Полный текст определения изготовлен 24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Борисовой Е.Е.,</w:t>
      </w:r>
    </w:p>
    <w:p>
      <w:pPr>
        <w:widowControl/>
        <w:spacing w:after="280" w:line="312" w:lineRule="auto"/>
        <w:ind w:firstLine="567"/>
        <w:jc w:val="both"/>
      </w:pPr>
      <w:r>
        <w:rPr>
          <w:rFonts w:ascii="Inter" w:hAnsi="Inter"/>
          <w:color w:val="655D50"/>
          <w:sz w:val="24"/>
        </w:rPr>
        <w:t>судей Разумова И.В., Самуйлова С.В.,</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общества с ограниченной ответственностью "Угольная компания "Разрез Майрыхский" на постановление Девятого арбитражного апелляционного суда от 20 мая 2025 г. и постановление Арбитражного суда Московского округа от 16 октября 2025 г. по делу № А40-186192/2024 Арбитражного суда города Москвы</w:t>
      </w:r>
    </w:p>
    <w:p>
      <w:pPr>
        <w:widowControl/>
        <w:spacing w:after="280" w:line="312" w:lineRule="auto"/>
        <w:ind w:firstLine="567"/>
        <w:jc w:val="both"/>
      </w:pPr>
      <w:r>
        <w:rPr>
          <w:rFonts w:ascii="Inter" w:hAnsi="Inter"/>
          <w:color w:val="655D50"/>
          <w:sz w:val="24"/>
        </w:rPr>
        <w:t>по исковому заявлению акционерного общества "НефтеТрансСервис" (далее - АО "НефтеТрансСервис", истец) к обществу с ограниченной ответственностью "Угольная компания "Разрез Майрыхский" (далее - ООО "УК "Разрез Майрыхский", ответчик) о взыскании денежных средств.</w:t>
      </w:r>
    </w:p>
    <w:p>
      <w:pPr>
        <w:widowControl/>
        <w:spacing w:after="280" w:line="312" w:lineRule="auto"/>
        <w:ind w:firstLine="567"/>
        <w:jc w:val="both"/>
      </w:pPr>
      <w:r>
        <w:rPr>
          <w:rFonts w:ascii="Inter" w:hAnsi="Inter"/>
          <w:color w:val="655D50"/>
          <w:sz w:val="24"/>
        </w:rPr>
        <w:t>В судебном заседании приняли участие представители:</w:t>
      </w:r>
    </w:p>
    <w:p>
      <w:pPr>
        <w:widowControl/>
        <w:spacing w:after="280" w:line="312" w:lineRule="auto"/>
        <w:ind w:firstLine="567"/>
        <w:jc w:val="both"/>
      </w:pPr>
      <w:r>
        <w:rPr>
          <w:rFonts w:ascii="Inter" w:hAnsi="Inter"/>
          <w:color w:val="655D50"/>
          <w:sz w:val="24"/>
        </w:rPr>
        <w:t>ООО "УК "Разрез Майрыхский" - Сидоренко А.Ю., Прудников Э.Б.;</w:t>
      </w:r>
    </w:p>
    <w:p>
      <w:pPr>
        <w:widowControl/>
        <w:spacing w:after="280" w:line="312" w:lineRule="auto"/>
        <w:ind w:firstLine="567"/>
        <w:jc w:val="both"/>
      </w:pPr>
      <w:r>
        <w:rPr>
          <w:rFonts w:ascii="Inter" w:hAnsi="Inter"/>
          <w:color w:val="655D50"/>
          <w:sz w:val="24"/>
        </w:rPr>
        <w:t>АО "НефтеТрансСервис" - Станкевич А.В., Федоров В.В., Завражнова И.К.</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Борисовой Е.Е., объяснения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АО "НефтеТранс-Сервис" обратилось в Арбитражный суд города Москвы с исковым заявлением к ООО "УК "Разрез Майрыхский" о взыскании штрафа по договору от 1 ноября 2016 г. № 1-05-042-458/16 в размере 124 440 000 рублей.</w:t>
      </w:r>
    </w:p>
    <w:p>
      <w:pPr>
        <w:widowControl/>
        <w:spacing w:after="280" w:line="312" w:lineRule="auto"/>
        <w:ind w:firstLine="567"/>
        <w:jc w:val="both"/>
      </w:pPr>
      <w:r>
        <w:rPr>
          <w:rFonts w:ascii="Inter" w:hAnsi="Inter"/>
          <w:color w:val="655D50"/>
          <w:sz w:val="24"/>
        </w:rPr>
        <w:t>ООО "УК "Разрез Майрыхский" направило в суд встречное исковое заявление о взыскании с АО "НефтеТрансСервис" неустойки по вышеуказанному договору в размере 46 060 000 рублей.</w:t>
      </w:r>
    </w:p>
    <w:p>
      <w:pPr>
        <w:widowControl/>
        <w:spacing w:after="280" w:line="312" w:lineRule="auto"/>
        <w:ind w:firstLine="567"/>
        <w:jc w:val="both"/>
      </w:pPr>
      <w:r>
        <w:rPr>
          <w:rFonts w:ascii="Inter" w:hAnsi="Inter"/>
          <w:color w:val="655D50"/>
          <w:sz w:val="24"/>
        </w:rPr>
        <w:t>Решением Арбитражного суда города Москвы от 20 февраля 2025 г. в удовлетворении иска отказано, встречное исковое заявление возвращено ответчику.</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20 мая 2025 г., оставленным без изменения постановлением Арбитражного суда Московского округа от 16 октября 2025 г., решение суда первой инстанции отменено в части отказа в удовлетворении иска. С ООО "УК "Разрез Майрыхский" в пользу АО "НефтеТрансСервис" взыскано 124 440 000 рублей штрафа, а также расходы по уплате государственной пошлины.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Не согласившись с принятыми по делу постановлениями суда апелляционной инстанции и суда округа, ООО "УК "Разрез Майрыхский" обратилось в Верховный Суд Российской Федерации с кассационной жалобой, в которой просило их отменить, ссылаясь на существенные нарушения судами норм материального и процессуального права, оставить в силе решение суда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10 марта 2026 г. № 305-ЭС25-14939 в передаче кассационной жалобы ООО "УК "Разрез Майрыхский"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от 19 июня 2026 г. определение судьи Верховного Суда Российской Федерации от 10 марта 2026 г. № 305-ЭС25-14939 отменено, кассационная жалоба ООО "УК "Разрез Майрыхский"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представленном отзыве на кассационную жалобу АО "НефтеТрансСервис" просит оставить кассационную жалобу без удовлетворения, а обжалуемые судебные акты - без изменения.</w:t>
      </w:r>
    </w:p>
    <w:p>
      <w:pPr>
        <w:widowControl/>
        <w:spacing w:after="280" w:line="312" w:lineRule="auto"/>
        <w:ind w:firstLine="567"/>
        <w:jc w:val="both"/>
      </w:pPr>
      <w:r>
        <w:rPr>
          <w:rFonts w:ascii="Inter" w:hAnsi="Inter"/>
          <w:color w:val="655D50"/>
          <w:sz w:val="24"/>
        </w:rPr>
        <w:t>В судебном заседании представители ответчика поддержали доводы кассационной жалобы, представители истца возражали относительно удовлетворения кассационной жалобы.</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проверяет в соответствии с определением заместителя Председателя Верховного Суда Российской Федерации от 19 июня 2026 г. обоснованность доводов ответчика о применении статьи 333 Гражданского кодекса Российской Федерации (далее - ГК РФ) и нарушении единообразия судебной практики при рассмотрении его заявления о снижении неустойки.</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между АО "НефтеТрансСервис" (исполнитель) и ООО "УК "Разрез Майрыхский" (заказчик) заключен договор от 1 ноября 2016 г. № 1-05-042-458/16 (далее - договор), в соответствии с которым исполнитель оказывает заказчику услуги по предоставлению вагонов для осуществления перевозки грузов железнодорожным транспортом.</w:t>
      </w:r>
    </w:p>
    <w:p>
      <w:pPr>
        <w:widowControl/>
        <w:spacing w:after="280" w:line="312" w:lineRule="auto"/>
        <w:ind w:firstLine="567"/>
        <w:jc w:val="both"/>
      </w:pPr>
      <w:r>
        <w:rPr>
          <w:rFonts w:ascii="Inter" w:hAnsi="Inter"/>
          <w:color w:val="655D50"/>
          <w:sz w:val="24"/>
        </w:rPr>
        <w:t>Согласно приложению № 5 к договору заказчик обязуется предоставлять исполнителю заявки в произвольной форме на предоставление полувагонов, подтвержденные согласованными ОАО "РЖД" заявками по форме ГУ-12, и производить погрузку полувагонов в объеме не менее 4000 вагоноотправок в месяц, опцион +/- 5% в месяц (далее - базовый объем). Исполнитель обязуется предоставлять полувагоны в полном объеме заказчику по заявкам, подтвержденным согласованными ОАО "РЖД" заявками по форме ГУ-12, соответствующим базовому объему.</w:t>
      </w:r>
    </w:p>
    <w:p>
      <w:pPr>
        <w:widowControl/>
        <w:spacing w:after="280" w:line="312" w:lineRule="auto"/>
        <w:ind w:firstLine="567"/>
        <w:jc w:val="both"/>
      </w:pPr>
      <w:r>
        <w:rPr>
          <w:rFonts w:ascii="Inter" w:hAnsi="Inter"/>
          <w:color w:val="655D50"/>
          <w:sz w:val="24"/>
        </w:rPr>
        <w:t>В случае нарушения заказчиком своих обязательств по предоставлению заявки, подтвержденной согласованной ОАО "РЖД" заявкой по форме ГУ-12, и непогрузки вагонов от 5% до 10% от базового объема, как следует из приложения № 5 к договору, исполнитель вправе предъявить заказчику штраф в размере 10 000 рублей за каждый не заявленный или не погруженный вагон, а в случае непогрузки более 10% от базового объема - в размере 20 000 рублей за каждый не заявленный или не погруженный вагон.</w:t>
      </w:r>
    </w:p>
    <w:p>
      <w:pPr>
        <w:widowControl/>
        <w:spacing w:after="280" w:line="312" w:lineRule="auto"/>
        <w:ind w:firstLine="567"/>
        <w:jc w:val="both"/>
      </w:pPr>
      <w:r>
        <w:rPr>
          <w:rFonts w:ascii="Inter" w:hAnsi="Inter"/>
          <w:color w:val="655D50"/>
          <w:sz w:val="24"/>
        </w:rPr>
        <w:t>Судами установлено, что в декабре 2023 года и январе 2024 года ответчик в нарушение положений приложения № 5 к договору не предоставлял истцу соответствующие базовому объему заявки по договору и вместо требуемых не менее 4000 вагоноотправок ежемесячно произвел погрузку в объеме лишь 1778 вагоноотправок в декабре 2023 года (56% невыполнения) и 0 вагоноотправок в январе 2024 года (100% невыполнения).</w:t>
      </w:r>
    </w:p>
    <w:p>
      <w:pPr>
        <w:widowControl/>
        <w:spacing w:after="280" w:line="312" w:lineRule="auto"/>
        <w:ind w:firstLine="567"/>
        <w:jc w:val="both"/>
      </w:pPr>
      <w:r>
        <w:rPr>
          <w:rFonts w:ascii="Inter" w:hAnsi="Inter"/>
          <w:color w:val="655D50"/>
          <w:sz w:val="24"/>
        </w:rPr>
        <w:t>АО "НефтеТрансСервис", посчитав, что невыполнение согласованного объема связано с действиями ООО "УК "Разрез Майрыхский" по непредоставлению заявок заказчиком исполнителю, предъявило претензию об уплате штрафа в соответствии с пунктом 6.4 приложения № 5 к договору.</w:t>
      </w:r>
    </w:p>
    <w:p>
      <w:pPr>
        <w:widowControl/>
        <w:spacing w:after="280" w:line="312" w:lineRule="auto"/>
        <w:ind w:firstLine="567"/>
        <w:jc w:val="both"/>
      </w:pPr>
      <w:r>
        <w:rPr>
          <w:rFonts w:ascii="Inter" w:hAnsi="Inter"/>
          <w:color w:val="655D50"/>
          <w:sz w:val="24"/>
        </w:rPr>
        <w:t>ООО "УК "Разрез Майрыхский" отказалось удовлетворять претензию, отметив, что в спорный период, как и в течение всего срока действия договора, исполнитель осуществлял подсыл вагонов на станцию погрузки только на основании согласованных перевозчиком заявок по форме ГУ-12 и не требовал от заказчика предоставления каких-либо иных заявок.</w:t>
      </w:r>
    </w:p>
    <w:p>
      <w:pPr>
        <w:widowControl/>
        <w:spacing w:after="280" w:line="312" w:lineRule="auto"/>
        <w:ind w:firstLine="567"/>
        <w:jc w:val="both"/>
      </w:pPr>
      <w:r>
        <w:rPr>
          <w:rFonts w:ascii="Inter" w:hAnsi="Inter"/>
          <w:color w:val="655D50"/>
          <w:sz w:val="24"/>
        </w:rPr>
        <w:t>Отказ в удовлетворении претензии явился основанием для предъявления настоящего иска.</w:t>
      </w:r>
    </w:p>
    <w:p>
      <w:pPr>
        <w:widowControl/>
        <w:spacing w:after="280" w:line="312" w:lineRule="auto"/>
        <w:ind w:firstLine="567"/>
        <w:jc w:val="both"/>
      </w:pPr>
      <w:r>
        <w:rPr>
          <w:rFonts w:ascii="Inter" w:hAnsi="Inter"/>
          <w:color w:val="655D50"/>
          <w:sz w:val="24"/>
        </w:rPr>
        <w:t>Арбитражный суд города Москвы, отказывая в удовлетворении иска, руководствовался положениями ГК РФ и отметил, что форма заявки по договору сторонами не установлена, то есть заказчик не ограничен в направлении в качестве заявки по договору заявки по форме ГУ-12, если она содержит всю необходимую информацию для выполнения договора и принимается второй стороной без возражений. При этом АО "НефтеТрансСервис" не учитывало причины, по которым в спорный период не были согласованы в необходимом количестве заявки по форме ГУ-12. Кроме того, суд отметил, что ранее АО "НефтеТрансСервис" исполняло свои обязательства на основании согласованных заявок по форме ГУ-12 без каких-либо возражений.</w:t>
      </w:r>
    </w:p>
    <w:p>
      <w:pPr>
        <w:widowControl/>
        <w:spacing w:after="280" w:line="312" w:lineRule="auto"/>
        <w:ind w:firstLine="567"/>
        <w:jc w:val="both"/>
      </w:pPr>
      <w:r>
        <w:rPr>
          <w:rFonts w:ascii="Inter" w:hAnsi="Inter"/>
          <w:color w:val="655D50"/>
          <w:sz w:val="24"/>
        </w:rPr>
        <w:t>Девятый арбитражный апелляционный суд, рассматривая дело, указал, что стороны в договоре согласовали четкие условия, наступление которых необходимо для исполнения обязательств по договору. Одним из таких условий является направление заказчиком в адрес исполнителя заявки по договору. Такая заявка является отдельным документом и не аналогична по своему содержанию заявке по форме ГУ-12; указанные документы не являются взаимозаменяющими.</w:t>
      </w:r>
    </w:p>
    <w:p>
      <w:pPr>
        <w:widowControl/>
        <w:spacing w:after="280" w:line="312" w:lineRule="auto"/>
        <w:ind w:firstLine="567"/>
        <w:jc w:val="both"/>
      </w:pPr>
      <w:r>
        <w:rPr>
          <w:rFonts w:ascii="Inter" w:hAnsi="Inter"/>
          <w:color w:val="655D50"/>
          <w:sz w:val="24"/>
        </w:rPr>
        <w:t>Отклоняя доводы ООО "УК "Разрез Майрыхский" о необходимости применения положений статьи 333 ГК РФ, апелляционный суд отметил, что взысканная сумма штрафа является соразмерной и адекватной последствиям нарушенного обязательства, поэтому оснований для применения положений статьи 333 ГК РФ и уменьшения размера штрафа не установлено.</w:t>
      </w:r>
    </w:p>
    <w:p>
      <w:pPr>
        <w:widowControl/>
        <w:spacing w:after="280" w:line="312" w:lineRule="auto"/>
        <w:ind w:firstLine="567"/>
        <w:jc w:val="both"/>
      </w:pPr>
      <w:r>
        <w:rPr>
          <w:rFonts w:ascii="Inter" w:hAnsi="Inter"/>
          <w:color w:val="655D50"/>
          <w:sz w:val="24"/>
        </w:rPr>
        <w:t>Арбитражный суд Московского округа согласился с выводами Девятого арбитражного апелляционного суда.</w:t>
      </w:r>
    </w:p>
    <w:p>
      <w:pPr>
        <w:widowControl/>
        <w:spacing w:after="280" w:line="312" w:lineRule="auto"/>
        <w:ind w:firstLine="567"/>
        <w:jc w:val="both"/>
      </w:pPr>
      <w:r>
        <w:rPr>
          <w:rFonts w:ascii="Inter" w:hAnsi="Inter"/>
          <w:color w:val="655D50"/>
          <w:sz w:val="24"/>
        </w:rPr>
        <w:t>Между тем судами апелляционной и кассационной инстанций не учтено следующее.</w:t>
      </w:r>
    </w:p>
    <w:p>
      <w:pPr>
        <w:widowControl/>
        <w:spacing w:after="280" w:line="312" w:lineRule="auto"/>
        <w:ind w:firstLine="567"/>
        <w:jc w:val="both"/>
      </w:pPr>
      <w:r>
        <w:rPr>
          <w:rFonts w:ascii="Inter" w:hAnsi="Inter"/>
          <w:color w:val="655D50"/>
          <w:sz w:val="24"/>
        </w:rPr>
        <w:t>Из положений статьи 333 ГК РФ следует, что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pPr>
        <w:widowControl/>
        <w:spacing w:after="280" w:line="312" w:lineRule="auto"/>
        <w:ind w:firstLine="567"/>
        <w:jc w:val="both"/>
      </w:pPr>
      <w:r>
        <w:rPr>
          <w:rFonts w:ascii="Inter" w:hAnsi="Inter"/>
          <w:color w:val="655D50"/>
          <w:sz w:val="24"/>
        </w:rPr>
        <w:t>Верховный Суд Российской Федерации в пункте 69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также указал, что подлежащая уплате неустойка, установленная законом или договором, в случае ее явной несоразмерности последствиям нарушения обязательства, может быть уменьшена в судебном порядке (пункт 1 статьи 333 ГК РФ).</w:t>
      </w:r>
    </w:p>
    <w:p>
      <w:pPr>
        <w:widowControl/>
        <w:spacing w:after="280" w:line="312" w:lineRule="auto"/>
        <w:ind w:firstLine="567"/>
        <w:jc w:val="both"/>
      </w:pPr>
      <w:r>
        <w:rPr>
          <w:rFonts w:ascii="Inter" w:hAnsi="Inter"/>
          <w:color w:val="655D50"/>
          <w:sz w:val="24"/>
        </w:rPr>
        <w:t>Как указано в определении заместителя Председателя Верховного Суда Российской Федерации от 19 июня 2026 г., в суде апелляционной инстанции ответчик неоднократно ссылался на необходимость снижения заявленного истцом штрафа в соответствии с положениями статьи 333 ГК РФ. При этом были не только заявлены соответствующие доводы, но и представлены доказательства в обоснование позиции, к которым относятся документы, подтверждающие несоразмерность взыскания.</w:t>
      </w:r>
    </w:p>
    <w:p>
      <w:pPr>
        <w:widowControl/>
        <w:spacing w:after="280" w:line="312" w:lineRule="auto"/>
        <w:ind w:firstLine="567"/>
        <w:jc w:val="both"/>
      </w:pPr>
      <w:r>
        <w:rPr>
          <w:rFonts w:ascii="Inter" w:hAnsi="Inter"/>
          <w:color w:val="655D50"/>
          <w:sz w:val="24"/>
        </w:rPr>
        <w:t>Однако апелляционный суд не дал надлежащую оценку представленным доказательствам и доводам заявителя, которые могли бы свидетельствовать о необходимости снижения штрафа, ограничившись ссылками на статью 333 ГК РФ и соответствующие разъяснения постановления Пленума № 7 и указанием на соразмерность и адекватность суммы штрафа последствиям нарушенного обязательства.</w:t>
      </w:r>
    </w:p>
    <w:p>
      <w:pPr>
        <w:widowControl/>
        <w:spacing w:after="280" w:line="312" w:lineRule="auto"/>
        <w:ind w:firstLine="567"/>
        <w:jc w:val="both"/>
      </w:pPr>
      <w:r>
        <w:rPr>
          <w:rFonts w:ascii="Inter" w:hAnsi="Inter"/>
          <w:color w:val="655D50"/>
          <w:sz w:val="24"/>
        </w:rPr>
        <w:t>Судебная коллегия полагает, что такие выводы суда не учитывают сложившиеся между истцом и ответчиком правоотношения, наличие между ними большого количества споров о неисполнении обязательств по тому же договору и тем же фактическим обстоятельствам, носят формальный характер, противоречат разъяснениям высшей судебной инстанции и имеющейся судебной практике рассмотрения аналогичных споров между теми же сторонами. В отличие от настоящего дела, иные споры разрешены судами единообразно, заявление ответчика о снижении штрафа удовлетворено в порядке статьи 333 ГК РФ.</w:t>
      </w:r>
    </w:p>
    <w:p>
      <w:pPr>
        <w:widowControl/>
        <w:spacing w:after="280" w:line="312" w:lineRule="auto"/>
        <w:ind w:firstLine="567"/>
        <w:jc w:val="both"/>
      </w:pPr>
      <w:r>
        <w:rPr>
          <w:rFonts w:ascii="Inter" w:hAnsi="Inter"/>
          <w:color w:val="655D50"/>
          <w:sz w:val="24"/>
        </w:rPr>
        <w:t>Таким образом, суд апелляционной инстанции при рассмотрении настоящего дела не установил необходимые обстоятельства, имеющие значение для правильного применения положений статей 330, 333 ГК РФ, и, соответственно, необоснованно отказал ответчику в удовлетворении заявления об уменьшении неустойки.</w:t>
      </w:r>
    </w:p>
    <w:p>
      <w:pPr>
        <w:widowControl/>
        <w:spacing w:after="280" w:line="312" w:lineRule="auto"/>
        <w:ind w:firstLine="567"/>
        <w:jc w:val="both"/>
      </w:pPr>
      <w:r>
        <w:rPr>
          <w:rFonts w:ascii="Inter" w:hAnsi="Inter"/>
          <w:color w:val="655D50"/>
          <w:sz w:val="24"/>
        </w:rPr>
        <w:t>Суд кассационной инстанции ошибку суда апелляционной инстанции не исправил.</w:t>
      </w:r>
    </w:p>
    <w:p>
      <w:pPr>
        <w:widowControl/>
        <w:spacing w:after="280" w:line="312" w:lineRule="auto"/>
        <w:ind w:firstLine="567"/>
        <w:jc w:val="both"/>
      </w:pPr>
      <w:r>
        <w:rPr>
          <w:rFonts w:ascii="Inter" w:hAnsi="Inter"/>
          <w:color w:val="655D50"/>
          <w:sz w:val="24"/>
        </w:rPr>
        <w:t>Частью 3 статьи 8 АПК РФ предусмотрено, что арбитражный суд не вправе своими действиями ставить какую-либо из сторон в преимущественное положение, равно как и умалять права одной из сторон.</w:t>
      </w:r>
    </w:p>
    <w:p>
      <w:pPr>
        <w:widowControl/>
        <w:spacing w:after="280" w:line="312" w:lineRule="auto"/>
        <w:ind w:firstLine="567"/>
        <w:jc w:val="both"/>
      </w:pPr>
      <w:r>
        <w:rPr>
          <w:rFonts w:ascii="Inter" w:hAnsi="Inter"/>
          <w:color w:val="655D50"/>
          <w:sz w:val="24"/>
        </w:rPr>
        <w:t>Вместе с тем доводы ответчика, связанные с исполнением договора и освобождением ООО "УК "Разрез Майрыхский" от предусмотренной договором ответственности, проверены судами и подлежат отклонению как направленные на переоценку установленных по делу фактических обстоятельств, что не входит в полномочия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принятые по настоящему делу постановления суда апелляционной инстанции и суда округа нельзя признать законными и обоснованными ввиду существенных нарушений судами норм материального и процессуального права, повлиявших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в связи с чем указанные судебные акты подлежат отмене на основании части 1 статьи 291.11 АПК РФ,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апелляционной инстанции следует учесть изложенное, повторно рассмотреть заявление ответчика о снижении предъявленного ко взысканию истцом штрафа на основании статьи 333 ГК РФ.</w:t>
      </w:r>
    </w:p>
    <w:p>
      <w:pPr>
        <w:widowControl/>
        <w:spacing w:after="280" w:line="312" w:lineRule="auto"/>
        <w:ind w:firstLine="567"/>
        <w:jc w:val="both"/>
      </w:pPr>
      <w:r>
        <w:rPr>
          <w:rFonts w:ascii="Inter" w:hAnsi="Inter"/>
          <w:color w:val="655D50"/>
          <w:sz w:val="24"/>
        </w:rPr>
        <w:t>Руководствуясь статьями 167,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24.07.2026 № 305-ЭС25-14939 по делу № А40-186192/2024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24.07.2026 № 305-ЭС25-14939 по делу № А40-186192/2024</dc:title>
  <dc:subject/>
  <dc:creator>CasusLegal</dc:creator>
  <cp:keywords/>
  <dc:description/>
  <cp:lastModifiedBy>CasusLegal</cp:lastModifiedBy>
  <cp:revision>1</cp:revision>
  <dcterms:created xsi:type="dcterms:W3CDTF">2026-08-16T11:29:36Z</dcterms:created>
  <dcterms:modified xsi:type="dcterms:W3CDTF">2026-08-16T11:29:36Z</dcterms:modified>
  <cp:category/>
</cp:coreProperties>
</file>