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9/2026. О рассмотрении судами споров, связанных с применением таможенного законодательства, п. 21</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17.06.2026</w:t>
      </w:r>
    </w:p>
    <w:p>
      <w:pPr>
        <w:spacing w:after="40"/>
      </w:pPr>
      <w:r>
        <w:rPr>
          <w:rFonts w:ascii="Inter" w:hAnsi="Inter"/>
          <w:b/>
          <w:color w:val="8B8171"/>
          <w:sz w:val="18"/>
        </w:rPr>
        <w:t xml:space="preserve">Номер дела: </w:t>
      </w:r>
      <w:r>
        <w:rPr>
          <w:rFonts w:ascii="Inter" w:hAnsi="Inter"/>
          <w:color w:val="655D50"/>
          <w:sz w:val="18"/>
        </w:rPr>
        <w:t>12А/2026</w:t>
      </w:r>
    </w:p>
    <w:p>
      <w:pPr>
        <w:spacing w:after="40"/>
      </w:pPr>
      <w:r>
        <w:rPr>
          <w:rFonts w:ascii="Inter" w:hAnsi="Inter"/>
          <w:b/>
          <w:color w:val="8B8171"/>
          <w:sz w:val="18"/>
        </w:rPr>
        <w:t xml:space="preserve">Применённые нормы: </w:t>
      </w:r>
      <w:r>
        <w:rPr>
          <w:rFonts w:ascii="Inter" w:hAnsi="Inter"/>
          <w:color w:val="655D50"/>
          <w:sz w:val="18"/>
        </w:rPr>
        <w:t>ст. 72 ТК ЕАЭС, ст. 48 ТК ЕАЭС, ст. 35 ТК ЕАЭС</w:t>
      </w:r>
    </w:p>
    <w:p>
      <w:pPr>
        <w:spacing w:after="40"/>
      </w:pPr>
      <w:r>
        <w:rPr>
          <w:rFonts w:ascii="Inter" w:hAnsi="Inter"/>
          <w:b/>
          <w:color w:val="8B8171"/>
          <w:sz w:val="18"/>
        </w:rPr>
        <w:t xml:space="preserve">Теги: </w:t>
      </w:r>
      <w:r>
        <w:rPr>
          <w:rFonts w:ascii="Inter" w:hAnsi="Inter"/>
          <w:color w:val="655D50"/>
          <w:sz w:val="18"/>
        </w:rPr>
        <w:t>таможенные платежи, пени, потери бюджета, авансовые платежи, статья 72 ТК ЕАЭС, статья 48 ТК ЕАЭС, задолженность по таможенным платежам, начисление пеней</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Определяющим обстоятельством для начисления пеней является факт причинения потерь бюджету, который может быть доказан таможенным органом с учетом обстоятельств расходования и распоряжения плательщиком авансовыми платежами, наличия иной непогашенной задолженности по таможенным платежам.</w:t>
      </w:r>
    </w:p>
    <w:p>
      <w:pPr>
        <w:widowControl/>
        <w:spacing w:after="280" w:line="312" w:lineRule="auto"/>
        <w:ind w:firstLine="567"/>
        <w:jc w:val="both"/>
      </w:pPr>
      <w:r>
        <w:rPr>
          <w:rFonts w:ascii="Inter" w:hAnsi="Inter"/>
          <w:color w:val="655D50"/>
          <w:sz w:val="24"/>
        </w:rPr>
        <w:t>Общество обратилось в суд с заявлением о признании недействительным таможенного уведомления в части начисления и об обязании уплатить пени в сумме 1 146 554 рубля 54 копейки, ссылаясь на то обстоятельство, что на момент возникновения обязанности по уплате таможенных платежей в федеральном бюджете находились авансовые платежи, поступившие от заявителя и превышающие по своему размеру величину указанной в уведомлении задолженности.</w:t>
      </w:r>
    </w:p>
    <w:p>
      <w:pPr>
        <w:widowControl/>
        <w:spacing w:after="280" w:line="312" w:lineRule="auto"/>
        <w:ind w:firstLine="567"/>
        <w:jc w:val="both"/>
      </w:pPr>
      <w:r>
        <w:rPr>
          <w:rFonts w:ascii="Inter" w:hAnsi="Inter"/>
          <w:color w:val="655D50"/>
          <w:sz w:val="24"/>
        </w:rPr>
        <w:t>Решением суда первой инстанции, с выводами которого согласились суды апелляционной и кассационной инстанций, в удовлетворении заявленных обществом требований отказано.</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отменяя состоявшиеся по делу судебные акты и удовлетворяя заявление общества, обратила внимание на следующее.</w:t>
      </w:r>
    </w:p>
    <w:p>
      <w:pPr>
        <w:widowControl/>
        <w:spacing w:after="280" w:line="312" w:lineRule="auto"/>
        <w:ind w:firstLine="567"/>
        <w:jc w:val="both"/>
      </w:pPr>
      <w:r>
        <w:rPr>
          <w:rFonts w:ascii="Inter" w:hAnsi="Inter"/>
          <w:color w:val="655D50"/>
          <w:sz w:val="24"/>
        </w:rPr>
        <w:t>Как установлено судами в ходе рассмотрения дела, на дату начала периода начисления пеней на лицевом счете общества имелись денежные средства в соответствующем размере.</w:t>
      </w:r>
    </w:p>
    <w:p>
      <w:pPr>
        <w:widowControl/>
        <w:spacing w:after="280" w:line="312" w:lineRule="auto"/>
        <w:ind w:firstLine="567"/>
        <w:jc w:val="both"/>
      </w:pPr>
      <w:r>
        <w:rPr>
          <w:rFonts w:ascii="Inter" w:hAnsi="Inter"/>
          <w:color w:val="655D50"/>
          <w:sz w:val="24"/>
        </w:rPr>
        <w:t>Признавая обоснованным выставление требования об уплате пеней, суды исходили из того, что наличие у заявителя переплаты по авансовым платежам не свидетельствует об исполнении плательщиком обязанности по уплате таможенных платежей, поскольку авансовые платежи остаются имуществом внесшего их лица и не могут рассматриваться в качестве таможенных платежей либо денежных средств, внесенных в качестве обеспечения уплаты таможенных пошлин, налогов.</w:t>
      </w:r>
    </w:p>
    <w:p>
      <w:pPr>
        <w:widowControl/>
        <w:spacing w:after="280" w:line="312" w:lineRule="auto"/>
        <w:ind w:firstLine="567"/>
        <w:jc w:val="both"/>
      </w:pPr>
      <w:r>
        <w:rPr>
          <w:rFonts w:ascii="Inter" w:hAnsi="Inter"/>
          <w:color w:val="655D50"/>
          <w:sz w:val="24"/>
        </w:rPr>
        <w:t>Вместе с тем, делая указанный вывод, суды не учли следующее.</w:t>
      </w:r>
    </w:p>
    <w:p>
      <w:pPr>
        <w:widowControl/>
        <w:spacing w:after="280" w:line="312" w:lineRule="auto"/>
        <w:ind w:firstLine="567"/>
        <w:jc w:val="both"/>
      </w:pPr>
      <w:r>
        <w:rPr>
          <w:rFonts w:ascii="Inter" w:hAnsi="Inter"/>
          <w:color w:val="655D50"/>
          <w:sz w:val="24"/>
        </w:rPr>
        <w:t>В соответствии с положениями статей 28, 35 Закона о таможенном регулировании денежные средства, внесенные в счет уплаты предстоящих платежей и не идентифицированные плательщиком в разрезе конкретных видов и сумм пошлин, налогов, таможенных сборов, конкретных товаров, уплачиваются на счета Федерального казначейства.</w:t>
      </w:r>
    </w:p>
    <w:p>
      <w:pPr>
        <w:widowControl/>
        <w:spacing w:after="280" w:line="312" w:lineRule="auto"/>
        <w:ind w:firstLine="567"/>
        <w:jc w:val="both"/>
      </w:pPr>
      <w:r>
        <w:rPr>
          <w:rFonts w:ascii="Inter" w:hAnsi="Inter"/>
          <w:color w:val="655D50"/>
          <w:sz w:val="24"/>
        </w:rPr>
        <w:t>То обстоятельство, что идентификация авансовых платежей применительно к исполнению обязанности по уплате тех или иных конкретных таможенных платежей производится после поступления соответствующего распоряжения об использовании авансовых платежей со стороны плательщика или по инициативе таможенного органа (статьи 35, 71 Закона о таможенном регулировании), не означает, что до момента распоряжения авансовыми платежами денежные средства не находились в казне и не использовались государством при кассовом исполнении федерального бюджета.</w:t>
      </w:r>
    </w:p>
    <w:p>
      <w:pPr>
        <w:widowControl/>
        <w:spacing w:after="280" w:line="312" w:lineRule="auto"/>
        <w:ind w:firstLine="567"/>
        <w:jc w:val="both"/>
      </w:pPr>
      <w:r>
        <w:rPr>
          <w:rFonts w:ascii="Inter" w:hAnsi="Inter"/>
          <w:color w:val="655D50"/>
          <w:sz w:val="24"/>
        </w:rPr>
        <w:t>В связи с этим вывод судов со ссылкой на пункт 4 статьи 48 ТК ЕАЭС о том, что денежные средства, уплаченные в качестве авансовых платежей, до момента их возврата являются имуществом лица, внесшего авансовые платежи, не опровергает позицию общества об отсутствии факта причинения потерь бюджету, поскольку указанные положения ТК ЕАЭС лишь признают за таможенным органом право бесспорного (внесудебного) взыскания таможенных платежей за счет внесенных авансовых платежей, а за плательщиком − право требовать возврата денежных средств (неизрасходованного остатка авансовых платежей) из федерального бюджета.</w:t>
      </w:r>
    </w:p>
    <w:p>
      <w:pPr>
        <w:widowControl/>
        <w:spacing w:after="280" w:line="312" w:lineRule="auto"/>
        <w:ind w:firstLine="567"/>
        <w:jc w:val="both"/>
      </w:pPr>
      <w:r>
        <w:rPr>
          <w:rFonts w:ascii="Inter" w:hAnsi="Inter"/>
          <w:color w:val="655D50"/>
          <w:sz w:val="24"/>
        </w:rPr>
        <w:t>В соответствии с пунктом 29 постановления Пленума № 49 при определении наличия оснований для применения таможенными органами статьи 72 Закона о таможенном регулировании и начисления пеней судам необходимо учитывать, что нахождение в федеральном бюджете авансовых платежей, излишне уплаченных или взысканных таможенных платежей, превышающих по своему размеру величину произведенных декларанту доначислений, может свидетельствовать об отсутствии потерь бюджета, требующих компенсации посредством взимания пеней, если иное не следует из представленных таможенным органом доказательств, в том числе сведений об использовании (возврате) авансовых и таможенных платежей за периоды начисления пеней, информации об иных причитавшихся к уплате таможенных платежах, относящихся к этому же периоду.</w:t>
      </w:r>
    </w:p>
    <w:p>
      <w:pPr>
        <w:widowControl/>
        <w:spacing w:after="280" w:line="312" w:lineRule="auto"/>
        <w:ind w:firstLine="567"/>
        <w:jc w:val="both"/>
      </w:pPr>
      <w:r>
        <w:rPr>
          <w:rFonts w:ascii="Inter" w:hAnsi="Inter"/>
          <w:color w:val="655D50"/>
          <w:sz w:val="24"/>
        </w:rPr>
        <w:t>Таким образом, определяющим обстоятельством для начисления пеней является факт причинения потерь бюджету, который может быть доказан таможенным органом с учетом обстоятельств расходования и распоряжения плательщиком авансовыми платежами, наличия иной непогашенной задолженности по таможенным платежам, относящейся к тому же периоду.</w:t>
      </w:r>
    </w:p>
    <w:p>
      <w:pPr>
        <w:widowControl/>
        <w:spacing w:after="280" w:line="312" w:lineRule="auto"/>
        <w:ind w:firstLine="567"/>
        <w:jc w:val="both"/>
      </w:pPr>
      <w:r>
        <w:rPr>
          <w:rFonts w:ascii="Inter" w:hAnsi="Inter"/>
          <w:color w:val="655D50"/>
          <w:sz w:val="24"/>
        </w:rPr>
        <w:t>В отсутствие факта причинения потерь бюджету ввиду достаточности денежных средств, внесенных заявителем в качестве авансовых платежей, у таможни не имелось оснований для вынесения уведомления о необходимости уплаты пеней в заявленном размере.</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9/2026. О рассмотрении судами споров, связанных с применением таможенного законодательства", п. 21</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9/2026. О рассмотрении судами споров, связанных с применением таможенного законодательства, п. 21</dc:title>
  <dc:subject/>
  <dc:creator>CasusLegal</dc:creator>
  <cp:keywords/>
  <dc:description/>
  <cp:lastModifiedBy>CasusLegal</cp:lastModifiedBy>
  <cp:revision>1</cp:revision>
  <dcterms:created xsi:type="dcterms:W3CDTF">2026-07-21T21:27:03Z</dcterms:created>
  <dcterms:modified xsi:type="dcterms:W3CDTF">2026-07-21T21:27:03Z</dcterms:modified>
  <cp:category/>
</cp:coreProperties>
</file>