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drawing>
          <wp:inline xmlns:a="http://schemas.openxmlformats.org/drawingml/2006/main" xmlns:pic="http://schemas.openxmlformats.org/drawingml/2006/picture">
            <wp:extent cx="152400" cy="15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LCluadeLogo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/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rFonts w:ascii="Cormorant Garamond" w:hAnsi="Cormorant Garamond"/>
          <w:b/>
          <w:color w:val="B63A26"/>
          <w:sz w:val="36"/>
        </w:rPr>
        <w:t>Casus</w:t>
      </w:r>
      <w:r>
        <w:rPr>
          <w:rFonts w:ascii="Cormorant Garamond" w:hAnsi="Cormorant Garamond"/>
          <w:b/>
          <w:color w:val="655D50"/>
          <w:sz w:val="36"/>
        </w:rPr>
        <w:t>Legal</w:t>
      </w:r>
    </w:p>
    <w:p>
      <w:pPr>
        <w:spacing w:before="160" w:after="120"/>
      </w:pPr>
      <w:r>
        <w:rPr>
          <w:rFonts w:ascii="Cormorant Garamond" w:hAnsi="Cormorant Garamond"/>
          <w:b/>
          <w:color w:val="3F3931"/>
          <w:sz w:val="28"/>
        </w:rPr>
        <w:t>Тематический обзор Верховного Суда Российской Федерации № 9/2026. О рассмотрении судами споров, связанных с применением таможенного законодательства, п. 18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Суд: </w:t>
      </w:r>
      <w:r>
        <w:rPr>
          <w:rFonts w:ascii="Inter" w:hAnsi="Inter"/>
          <w:color w:val="655D50"/>
          <w:sz w:val="18"/>
        </w:rPr>
        <w:t>Верховный Суд РФ (Президиум, обзор)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Дата: </w:t>
      </w:r>
      <w:r>
        <w:rPr>
          <w:rFonts w:ascii="Inter" w:hAnsi="Inter"/>
          <w:color w:val="655D50"/>
          <w:sz w:val="18"/>
        </w:rPr>
        <w:t>17.06.2026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Номер дела: </w:t>
      </w:r>
      <w:r>
        <w:rPr>
          <w:rFonts w:ascii="Inter" w:hAnsi="Inter"/>
          <w:color w:val="655D50"/>
          <w:sz w:val="18"/>
        </w:rPr>
        <w:t>12А/2026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Теги: </w:t>
      </w:r>
      <w:r>
        <w:rPr>
          <w:rFonts w:ascii="Inter" w:hAnsi="Inter"/>
          <w:color w:val="655D50"/>
          <w:sz w:val="18"/>
        </w:rPr>
        <w:t>товары для личного пользования, транспортное средство, одобрение типа транспортного средства, выпуск в обращение, единичное транспортное средство, технический регламент, ввоз автомобиля физическим лицом, таможенное оформление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Позиция суда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Документ об одобрении типа транспортного средства не является обязательным при выпуске в обращение единичных транспортных средств, ввозимых физическими лицами для собственных нужд.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Лицо обратилось в суд с требованием, в котором оспаривало решение таможенного органа об отказе в выпуске товара (автомобиля), действия данного таможенного органа по направлению требования о внесении изменений (дополнений) в сведения, заявленные в декларации, и просило возложить на таможенный орган обязанность выпустить в обращение автомобиль с применением расчетов ввозных таможенных пошлин и налогов, отраженных в декларации на товары.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Решением суда первой инстанции, оставленным без изменения судами апелляционной и кассационной инстанций, в удовлетворении требования отказано.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Суд первой инстанции исходил из того, что автомобиль является единичным транспортным средством, свидетельство о безопасности конструкции транспортного средства на данный автомобиль выдано с нарушением требований технического регламента Таможенного союза «О безопасности колесных транспортных средств» (ТР ТС 018/2011), утвержденного решением Комиссии Таможенного союза от 9 декабря 2011 года № 87716, в отсутствие необходимого одобрения типа транспортного средства.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Суд кассационной инстанции на основании положений пункта 2 Правил применения обязательных требований в отношении отдельных колесных транспортных средств17 и пункта 87 перечня товаров, в отношении которых не применяются отдельные положения ГК РФ18, пришел к выводу о том, что ввозимый лицом автомобиль не относится к единичному транспортному средству, в связи с чем таможенный орган правомерно направил лицу требование о необходимости представления одобрения типа транспортного средства для выпуска товара для внутреннего потребления.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Судебная коллегия Верховного Суда Российской Федерации принятые по делу судебные акты отменила с учетом следующего.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На основании договора розничной купли-продажи, заключенного с иностранной компанией, лицо приобрело для личного использования автомобиль иностранной марки.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Таможенным представителем лица в таможенный орган подана таможенная декларация, в которой названный автомобиль задекларирован как товар для собственных нужд. К декларации приложено свидетельство о безопасности конструкции транспортного средства в качестве документа, удостоверяющего соответствие транспортного средства требованиям Технического регламента.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 связи с непредставлением одобрения типа транспортного средства таможенным органом принято решение об отказе в выпуске данного автомобиля.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Под единичным транспортным средством понимается транспортное средство, ввозимое на единую таможенную территорию Таможенного союза физическим лицом для собственных нужд (пункт 6 Технического регламента).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Документом, удостоверяющим соответствие требованиям Технического регламента при выпуске в обращение, для единичных транспортных средств является свидетельство о безопасности конструкции транспортного средства (пункт 8 Технического регламента).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 учетом положений пунктов 6, 13, 42 Технического регламента одобрение типа транспортного средства имеет срочный характер, выдается на определенный период, в том числе для систематического ввоза серийно выпускаемых транспортных средств либо их партий, и не является необходимым документом, удостоверяющим соответствие требованиям Технического регламента при выпуске в обращение для единичных транспортных средств, ввозимых физическими лицами для собственных нужд.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Таким образом, на ввезенный физическим лицом для собственных нужд автомобиль должно быть оформлено свидетельство о безопасности конструкции транспортного средства, срок действия которого ввиду разового ввоза транспортного средства Техническим регламентом не установлен. На основании Технического регламента свидетельство о безопасности конструкции транспортного средства на данный автомобиль оформляется без одобрения типа транспортного средства, которое возможно получить только с разрешения завода-изготовителя (правообладателя).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Ввезенный лицом автомобиль не относится к типу, на который выдается одобрение типа транспортного средства. Ни завод-изготовитель, ни его полномочный представитель за выдачей данного документа не обращались. В предусмотренном Техническим регламентом перечне документов, представляемых заявителем для получения свидетельства о безопасности конструкции транспортного средства, одобрение типа транспортного средства отсутствует.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 этой связи Судебная коллегия Верховного Суда Российской Федерации направила дело на новое рассмотрение в суд первой инстанции.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III. Налог на добавленную стоимость,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взимаемый при ввозе товаров на таможенную территорию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Иные положения акта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"Тематический обзор Верховного Суда Российской Федерации № 9/2026. О рассмотрении судами споров, связанных с применением таможенного законодательства", п. 18</w:t>
      </w:r>
    </w:p>
    <w:p>
      <w:pPr>
        <w:spacing w:before="360"/>
      </w:pPr>
      <w:r>
        <w:rPr>
          <w:rFonts w:ascii="Inter" w:hAnsi="Inter"/>
          <w:i/>
          <w:color w:val="8B8171"/>
          <w:sz w:val="15"/>
        </w:rPr>
        <w:t>Документ сформирован сервисом CasusLegal на основе официального текста судебного акта. Для использования в процессуальных целях сверяйтесь с официальными источниками опубликования.</w:t>
      </w:r>
    </w:p>
    <w:sectPr w:rsidR="00FC693F" w:rsidRPr="0006063C" w:rsidSect="00034616">
      <w:footerReference w:type="default" r:id="rId10"/>
      <w:pgSz w:w="12240" w:h="15840"/>
      <w:pgMar w:top="1157" w:right="1134" w:bottom="1157" w:left="158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4762" w:val="center"/>
        <w:tab w:pos="9524" w:val="right"/>
      </w:tabs>
      <w:jc w:val="left"/>
    </w:pPr>
    <w:r>
      <w:tab/>
    </w:r>
    <w:hyperlink r:id="rId1">
      <w:r>
        <w:rPr>
          <w:rFonts w:ascii="Inter" w:hAnsi="Inter"/>
          <w:color w:val="B63A26"/>
          <w:sz w:val="16"/>
        </w:rPr>
        <w:t>@CasusLegalBot</w:t>
      </w:r>
    </w:hyperlink>
    <w:r>
      <w:tab/>
    </w:r>
    <w:r>
      <w:rPr>
        <w:rFonts w:ascii="Inter" w:hAnsi="Inter"/>
        <w:color w:val="8B8171"/>
        <w:sz w:val="24"/>
      </w:rP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Inter" w:hAnsi="Inter"/>
      <w:color w:val="655D50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footer" Target="foot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hyperlink" Target="https://t.me/CasusLegalB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CasusLegal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CasusLegal</Company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Тематический обзор Верховного Суда Российской Федерации № 9/2026. О рассмотрении судами споров, связанных с применением таможенного законодательства, п. 18</dc:title>
  <dc:subject/>
  <dc:creator>CasusLegal</dc:creator>
  <cp:keywords/>
  <dc:description/>
  <cp:lastModifiedBy>CasusLegal</cp:lastModifiedBy>
  <cp:revision>1</cp:revision>
  <dcterms:created xsi:type="dcterms:W3CDTF">2026-07-21T21:02:56Z</dcterms:created>
  <dcterms:modified xsi:type="dcterms:W3CDTF">2026-07-21T21:02:56Z</dcterms:modified>
  <cp:category/>
</cp:coreProperties>
</file>