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277 ТК ЕАЭС, ст. 179 ТК ЕАЭС, ст. 186 ТК ЕАЭС</w:t>
      </w:r>
    </w:p>
    <w:p>
      <w:pPr>
        <w:spacing w:after="40"/>
      </w:pPr>
      <w:r>
        <w:rPr>
          <w:rFonts w:ascii="Inter" w:hAnsi="Inter"/>
          <w:b/>
          <w:color w:val="8B8171"/>
          <w:sz w:val="18"/>
        </w:rPr>
        <w:t xml:space="preserve">Теги: </w:t>
      </w:r>
      <w:r>
        <w:rPr>
          <w:rFonts w:ascii="Inter" w:hAnsi="Inter"/>
          <w:color w:val="655D50"/>
          <w:sz w:val="18"/>
        </w:rPr>
        <w:t>переработка вне таможенной территории, морское судно, таможенная стоимость, статья 277 ТК ЕАЭС, статья 179 ТК ЕАЭС, ежегодное освидетельствование судна, стоимость операций по переработке, статья 186 ТК ЕАЭС</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Расходы на ежегодное освидетельствование морского судна не подлежат включению в стоимость операций по переработке судна вне таможенной территории ЕАЭС.</w:t>
      </w:r>
    </w:p>
    <w:p>
      <w:pPr>
        <w:widowControl/>
        <w:spacing w:after="280" w:line="312" w:lineRule="auto"/>
        <w:ind w:firstLine="567"/>
        <w:jc w:val="both"/>
      </w:pPr>
      <w:r>
        <w:rPr>
          <w:rFonts w:ascii="Inter" w:hAnsi="Inter"/>
          <w:color w:val="655D50"/>
          <w:sz w:val="24"/>
        </w:rPr>
        <w:t>Между обществом и иностранной компанией заключены контракты на ремонт и техническое обслуживание судов, принадлежащих заявителю на праве собственности. После завершения ремонтных работ в иностранном порту судна помещены декларантом под таможенную процедуру выпуска для внутреннего потребления, расходы по ремонту включены обществом в стоимость операций по переработке судов.</w:t>
      </w:r>
    </w:p>
    <w:p>
      <w:pPr>
        <w:widowControl/>
        <w:spacing w:after="280" w:line="312" w:lineRule="auto"/>
        <w:ind w:firstLine="567"/>
        <w:jc w:val="both"/>
      </w:pPr>
      <w:r>
        <w:rPr>
          <w:rFonts w:ascii="Inter" w:hAnsi="Inter"/>
          <w:color w:val="655D50"/>
          <w:sz w:val="24"/>
        </w:rPr>
        <w:t>По результатам проведенной проверки таможенным органом установлено, что после осуществления ремонтных работ филиалом в иностранном порту федерального автономного учреждения «Российский морской регистр судоходства» оказаны услуги по ежегодному освидетельствованию судов общества. В связи с этим таможенный орган принял решение о внесении изменений (дополнений) в сведения, заявленные к декларации на товары, поскольку счел, что расходы на ежегодное освидетельствование должны включаться в стоимость переработки ввиду наличия взаимосвязи между ремонтом и освидетельствованием судов.</w:t>
      </w:r>
    </w:p>
    <w:p>
      <w:pPr>
        <w:widowControl/>
        <w:spacing w:after="280" w:line="312" w:lineRule="auto"/>
        <w:ind w:firstLine="567"/>
        <w:jc w:val="both"/>
      </w:pPr>
      <w:r>
        <w:rPr>
          <w:rFonts w:ascii="Inter" w:hAnsi="Inter"/>
          <w:color w:val="655D50"/>
          <w:sz w:val="24"/>
        </w:rPr>
        <w:t>Не согласившись с решением таможенного органа, общество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заявление общества удовлетворено.</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судом кассационной инстанции, решение суда первой инстанции отменено, в удовлетворении заявления общества отказано.</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отменяя постановления судов апелляционной и кассационной инстанций и оставляя в силе решение суда первой инстанции, исходила из следующего.</w:t>
      </w:r>
    </w:p>
    <w:p>
      <w:pPr>
        <w:widowControl/>
        <w:spacing w:after="280" w:line="312" w:lineRule="auto"/>
        <w:ind w:firstLine="567"/>
        <w:jc w:val="both"/>
      </w:pPr>
      <w:r>
        <w:rPr>
          <w:rFonts w:ascii="Inter" w:hAnsi="Inter"/>
          <w:color w:val="655D50"/>
          <w:sz w:val="24"/>
        </w:rPr>
        <w:t>Декларирование морских судов после ремонта осуществлялось в соответствии с пунктом 3 статьи 277 ТК ЕАЭС, согласно которому в случае совершения операций, не предусмотренных пунктами 1 и 2 данной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ТК ЕАЭС.</w:t>
      </w:r>
    </w:p>
    <w:p>
      <w:pPr>
        <w:widowControl/>
        <w:spacing w:after="280" w:line="312" w:lineRule="auto"/>
        <w:ind w:firstLine="567"/>
        <w:jc w:val="both"/>
      </w:pPr>
      <w:r>
        <w:rPr>
          <w:rFonts w:ascii="Inter" w:hAnsi="Inter"/>
          <w:color w:val="655D50"/>
          <w:sz w:val="24"/>
        </w:rPr>
        <w:t>В целях правильного определения обязанности декларанта по уплате таможенных платежей в соответствии с отсылочным характером пункта 3 статьи 277 ТК ЕАЭС необходимо применять правила определения таможенной стоимости товара, установленные для таможенной процедуры переработки товаров вне таможенной территории Союза.</w:t>
      </w:r>
    </w:p>
    <w:p>
      <w:pPr>
        <w:widowControl/>
        <w:spacing w:after="280" w:line="312" w:lineRule="auto"/>
        <w:ind w:firstLine="567"/>
        <w:jc w:val="both"/>
      </w:pPr>
      <w:r>
        <w:rPr>
          <w:rFonts w:ascii="Inter" w:hAnsi="Inter"/>
          <w:color w:val="655D50"/>
          <w:sz w:val="24"/>
        </w:rPr>
        <w:t>Согласно статье 179 ТК ЕАЭС переработка товаров вне таможенной территории Союза включает в себя: переработку или обработку товаров; изготовление товаров, включая монтаж, сборку, разборку и подгонку; ремонт товаров, включая их восстановление, замену составных частей, модернизацию. При этом стоимость операций по переработке вне таможенной территории Союза определяется как совокупность фактически понесенных расходов на: 1) операции по переработке (ремонту); 2) иностранные товары, использованные в процессе переработки (ремонта), если они не включены в расходы на операции по переработке (ремонту) (пункт 2 статьи 186 ТК ЕАЭС).</w:t>
      </w:r>
    </w:p>
    <w:p>
      <w:pPr>
        <w:widowControl/>
        <w:spacing w:after="280" w:line="312" w:lineRule="auto"/>
        <w:ind w:firstLine="567"/>
        <w:jc w:val="both"/>
      </w:pPr>
      <w:r>
        <w:rPr>
          <w:rFonts w:ascii="Inter" w:hAnsi="Inter"/>
          <w:color w:val="655D50"/>
          <w:sz w:val="24"/>
        </w:rPr>
        <w:t>Из приведенных положений таможенного законодательства следует, что при ввозе и выпуске для внутреннего потребления товара в соответствии с пунктом 3 статьи 277 ТК ЕАЭС в качестве таможенной стоимости принимается стоимость его переработки, отражающая экономическую ценность произведенных в товаре улучшений.</w:t>
      </w:r>
    </w:p>
    <w:p>
      <w:pPr>
        <w:widowControl/>
        <w:spacing w:after="280" w:line="312" w:lineRule="auto"/>
        <w:ind w:firstLine="567"/>
        <w:jc w:val="both"/>
      </w:pPr>
      <w:r>
        <w:rPr>
          <w:rFonts w:ascii="Inter" w:hAnsi="Inter"/>
          <w:color w:val="655D50"/>
          <w:sz w:val="24"/>
        </w:rPr>
        <w:t>При этом установленный законодательством подход к определению таможенной стоимости указанных товаров исходя из стоимости операций по их переработке вне таможенной территории Союза не может быть произвольно изменен или дополнен таможенным органом, поскольку в силу требований пункта 9 статьи 38 ТК ЕАЭС определение таможенной стоимости товаров не должно быть основано на использовании произвольной или фиктивной таможенной стоимости товаров.</w:t>
      </w:r>
    </w:p>
    <w:p>
      <w:pPr>
        <w:widowControl/>
        <w:spacing w:after="280" w:line="312" w:lineRule="auto"/>
        <w:ind w:firstLine="567"/>
        <w:jc w:val="both"/>
      </w:pPr>
      <w:r>
        <w:rPr>
          <w:rFonts w:ascii="Inter" w:hAnsi="Inter"/>
          <w:color w:val="655D50"/>
          <w:sz w:val="24"/>
        </w:rPr>
        <w:t>Для правильного разрешения спора следует установить, являются ли по своей природе оказанные декларанту услуги по освидетельствованию улучшением морских судов, представляющим экономическую ценность.</w:t>
      </w:r>
    </w:p>
    <w:p>
      <w:pPr>
        <w:widowControl/>
        <w:spacing w:after="280" w:line="312" w:lineRule="auto"/>
        <w:ind w:firstLine="567"/>
        <w:jc w:val="both"/>
      </w:pPr>
      <w:r>
        <w:rPr>
          <w:rFonts w:ascii="Inter" w:hAnsi="Inter"/>
          <w:color w:val="655D50"/>
          <w:sz w:val="24"/>
        </w:rPr>
        <w:t>Согласно пункту 1 статьи 23 КТМ РФ освидетельствование судов осуществляется для подтверждения их соответствия требованиям международных договоров Российской Федерации.</w:t>
      </w:r>
    </w:p>
    <w:p>
      <w:pPr>
        <w:widowControl/>
        <w:spacing w:after="280" w:line="312" w:lineRule="auto"/>
        <w:ind w:firstLine="567"/>
        <w:jc w:val="both"/>
      </w:pPr>
      <w:r>
        <w:rPr>
          <w:rFonts w:ascii="Inter" w:hAnsi="Inter"/>
          <w:color w:val="655D50"/>
          <w:sz w:val="24"/>
        </w:rPr>
        <w:t>Пунктами 243−247 технического регламента о безопасности объектов морского транспорта9 предусмотрено, что органом классификации судов (ФАУ «РМРС») оценка соответствия может осуществляться как в форме технического наблюдения в процессе постройки, переоборудования, модернизации, ремонта судна, так и в форме освидетельствования судна в эксплуатации, которое включает в себя проверку наличия согласованной технической документации, наружный осмотр, измерения, проверку в действии и испытания, оформление и выдачу документов органа классификации судов.</w:t>
      </w:r>
    </w:p>
    <w:p>
      <w:pPr>
        <w:widowControl/>
        <w:spacing w:after="280" w:line="312" w:lineRule="auto"/>
        <w:ind w:firstLine="567"/>
        <w:jc w:val="both"/>
      </w:pPr>
      <w:r>
        <w:rPr>
          <w:rFonts w:ascii="Inter" w:hAnsi="Inter"/>
          <w:color w:val="655D50"/>
          <w:sz w:val="24"/>
        </w:rPr>
        <w:t>Таким образом, как верно указал суд первой инстанции, классификация и освидетельствование судов представляет собой самостоятельную сферу деятельности государственных органов, ФАУ «РМРС» и судовладельцев, не могут быть отнесены к ремонту или иным видам переработки судов, не имеют своей целью восстановление исправного или работоспособного состояния судна, а осуществляются исключительно в целях подтверждения соответствия состояния судна требованиям безопасности и международных договоров Российской Федерации.</w:t>
      </w:r>
    </w:p>
    <w:p>
      <w:pPr>
        <w:widowControl/>
        <w:spacing w:after="280" w:line="312" w:lineRule="auto"/>
        <w:ind w:firstLine="567"/>
        <w:jc w:val="both"/>
      </w:pPr>
      <w:r>
        <w:rPr>
          <w:rFonts w:ascii="Inter" w:hAnsi="Inter"/>
          <w:color w:val="655D50"/>
          <w:sz w:val="24"/>
        </w:rPr>
        <w:t>Как следует из материалов дела, спорные услуги ФАУ «РМРС» не были направлены на восстановление судов или на их техническое улучшение, поэтому не могут быть отнесены ни к одному из этапов ремонтных работ; они не могут быть классифицированы как часть операции по переработке вне таможенной территории в соответствии со статьями 179, 186 ТК ЕАЭС, так как не отвечают критериям, установленным указанными нормами.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11</dc:title>
  <dc:subject/>
  <dc:creator>CasusLegal</dc:creator>
  <cp:keywords/>
  <dc:description/>
  <cp:lastModifiedBy>CasusLegal</cp:lastModifiedBy>
  <cp:revision>1</cp:revision>
  <dcterms:created xsi:type="dcterms:W3CDTF">2026-07-21T21:30:11Z</dcterms:created>
  <dcterms:modified xsi:type="dcterms:W3CDTF">2026-07-21T21:30:11Z</dcterms:modified>
  <cp:category/>
</cp:coreProperties>
</file>