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10</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40 ТК ЕАЭС, ст. 39 ТК ЕАЭС, ст. 38 ТК ЕАЭС</w:t>
      </w:r>
    </w:p>
    <w:p>
      <w:pPr>
        <w:spacing w:after="40"/>
      </w:pPr>
      <w:r>
        <w:rPr>
          <w:rFonts w:ascii="Inter" w:hAnsi="Inter"/>
          <w:b/>
          <w:color w:val="8B8171"/>
          <w:sz w:val="18"/>
        </w:rPr>
        <w:t xml:space="preserve">Теги: </w:t>
      </w:r>
      <w:r>
        <w:rPr>
          <w:rFonts w:ascii="Inter" w:hAnsi="Inter"/>
          <w:color w:val="655D50"/>
          <w:sz w:val="18"/>
        </w:rPr>
        <w:t>таможенная стоимость, дивиденды, группа компаний, статья 40 ТК ЕАЭС, статья 39 ТК ЕАЭС, доход продавца, взаимосвязанные лица, включение дивидендов в стоимость</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Дивиденды, выплачиваемые иностранному поставщику товаров, входящему с декларантом в одну группу компаний, подлежат включению в таможенную стоимость товаров, если такие платежи представляют собой часть дохода (выручки) продавца в отношении ввезенных товаров.</w:t>
      </w:r>
    </w:p>
    <w:p>
      <w:pPr>
        <w:widowControl/>
        <w:spacing w:after="280" w:line="312" w:lineRule="auto"/>
        <w:ind w:firstLine="567"/>
        <w:jc w:val="both"/>
      </w:pPr>
      <w:r>
        <w:rPr>
          <w:rFonts w:ascii="Inter" w:hAnsi="Inter"/>
          <w:color w:val="655D50"/>
          <w:sz w:val="24"/>
        </w:rPr>
        <w:t>Таможенным органом проведена проверка достоверности сведений, заявленных в декларациях на товары обществом, являющимся импортером одежды, обуви и аксессуаров, маркированных товарным знаком Pull&amp;Bear, которые впоследствии реализуются в фирменных розничных магазинах Pull&amp;Bear в России, а также через интернет-магазин.</w:t>
      </w:r>
    </w:p>
    <w:p>
      <w:pPr>
        <w:widowControl/>
        <w:spacing w:after="280" w:line="312" w:lineRule="auto"/>
        <w:ind w:firstLine="567"/>
        <w:jc w:val="both"/>
      </w:pPr>
      <w:r>
        <w:rPr>
          <w:rFonts w:ascii="Inter" w:hAnsi="Inter"/>
          <w:color w:val="655D50"/>
          <w:sz w:val="24"/>
        </w:rPr>
        <w:t>По мнению таможни, в нарушение подпункта 3 пункта 1 статьи 40 ТК ЕАЭС в таможенную стоимость импортированной продукции не были включены дивиденды, выплаченные обществом своему участнику, который одновременно является поставщиком одежды.</w:t>
      </w:r>
    </w:p>
    <w:p>
      <w:pPr>
        <w:widowControl/>
        <w:spacing w:after="280" w:line="312" w:lineRule="auto"/>
        <w:ind w:firstLine="567"/>
        <w:jc w:val="both"/>
      </w:pPr>
      <w:r>
        <w:rPr>
          <w:rFonts w:ascii="Inter" w:hAnsi="Inter"/>
          <w:color w:val="655D50"/>
          <w:sz w:val="24"/>
        </w:rPr>
        <w:t>Общество, не согласившись с решением таможенного органа о включении дивидендов в таможенную стоимость ввезенных товаров, обратилось в суд с заявлением, в котором просило признать указанное решение недействительным.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заявленное обществом требование удовлетворено. Как указано судами, влияние на структуру таможенной стоимости такого элемента, как дивиденды, возможно, если их выплата выступает оговоренным условием продажи конкретных импортируемых товаров, однако таможней не представлено доказательств того, что выплата спорных дивидендов являлась одним из условий продажи ввозимых товаров.</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обратила внимание на следующее.</w:t>
      </w:r>
    </w:p>
    <w:p>
      <w:pPr>
        <w:widowControl/>
        <w:spacing w:after="280" w:line="312" w:lineRule="auto"/>
        <w:ind w:firstLine="567"/>
        <w:jc w:val="both"/>
      </w:pPr>
      <w:r>
        <w:rPr>
          <w:rFonts w:ascii="Inter" w:hAnsi="Inter"/>
          <w:color w:val="655D50"/>
          <w:sz w:val="24"/>
        </w:rPr>
        <w:t>Цена, фактически уплаченная или подлежащая уплате за ввозимые товары, относится к товарам, перемещаемым через таможенную границу ЕАЭС, в связи с чем согласно пункту 9 статьи 39 ТК ЕАЭС перечисляемые покупателем продавцу дивиденды или иные платежи в случае, если они не связаны с ввозимыми товарами, не включаются в таможенную стоимость ввозимых товаров.</w:t>
      </w:r>
    </w:p>
    <w:p>
      <w:pPr>
        <w:widowControl/>
        <w:spacing w:after="280" w:line="312" w:lineRule="auto"/>
        <w:ind w:firstLine="567"/>
        <w:jc w:val="both"/>
      </w:pPr>
      <w:r>
        <w:rPr>
          <w:rFonts w:ascii="Inter" w:hAnsi="Inter"/>
          <w:color w:val="655D50"/>
          <w:sz w:val="24"/>
        </w:rPr>
        <w:t>В то же время при определении таможенной стоимости товаров по стоимости сделки с ними к цене, фактически уплаченной или подлежащей уплате за эти товары, добавляется часть полученного в результате последующей продажи, распоряжения иным способом или использования ввозимых товаров дохода (выручки), которая прямо или косвенно причитается продавцу (подпункт 3 пункта 1 статьи 40 ТК ЕАЭС).</w:t>
      </w:r>
    </w:p>
    <w:p>
      <w:pPr>
        <w:widowControl/>
        <w:spacing w:after="280" w:line="312" w:lineRule="auto"/>
        <w:ind w:firstLine="567"/>
        <w:jc w:val="both"/>
      </w:pPr>
      <w:r>
        <w:rPr>
          <w:rFonts w:ascii="Inter" w:hAnsi="Inter"/>
          <w:color w:val="655D50"/>
          <w:sz w:val="24"/>
        </w:rPr>
        <w:t>По смыслу приведенных положений дивиденды, полученные участником (акционером) хозяйственного общества в результате распределения чистой прибыли, не включаются в таможенную стоимость ввозимых товаров, поскольку представляют собой доход от инвестиций, вложенных участником (акционером) в создание или приобретение предприятия, и как таковые не связаны с импортом товаров.</w:t>
      </w:r>
    </w:p>
    <w:p>
      <w:pPr>
        <w:widowControl/>
        <w:spacing w:after="280" w:line="312" w:lineRule="auto"/>
        <w:ind w:firstLine="567"/>
        <w:jc w:val="both"/>
      </w:pPr>
      <w:r>
        <w:rPr>
          <w:rFonts w:ascii="Inter" w:hAnsi="Inter"/>
          <w:color w:val="655D50"/>
          <w:sz w:val="24"/>
        </w:rPr>
        <w:t>Однако платежи, поименованные в качестве дивидендов и являющиеся таковыми лишь по форме, признаются связанными с ввезенными товарами и включаются в их таможенную стоимость на основании подпункта 3 пункта 1 статьи 40 ТК ЕАЭС, если, по сути, они обеспечивают получение продавцом части причитающегося ему дохода (выручки) от продажи ввезенных товаров.</w:t>
      </w:r>
    </w:p>
    <w:p>
      <w:pPr>
        <w:widowControl/>
        <w:spacing w:after="280" w:line="312" w:lineRule="auto"/>
        <w:ind w:firstLine="567"/>
        <w:jc w:val="both"/>
      </w:pPr>
      <w:r>
        <w:rPr>
          <w:rFonts w:ascii="Inter" w:hAnsi="Inter"/>
          <w:color w:val="655D50"/>
          <w:sz w:val="24"/>
        </w:rPr>
        <w:t>Таким образом, если учредители общества с ограниченной ответственностью принимают решение о выплате дохода (чистой прибыли), полученного в связи с реализацией товара, ввезенного в рамках внешнеэкономических договоров, заключенных с поставщиками, являющимися одновременно учредителями (участниками) российского хозяйственного общества, и декларантом не представлены доказательства, подтверждающие соответствие стоимости сделки с ввозимыми товарами их действительной стоимости, указанный доход (чистая прибыль) может быть включен в таможенную стоимость ввезенных товаров.</w:t>
      </w:r>
    </w:p>
    <w:p>
      <w:pPr>
        <w:widowControl/>
        <w:spacing w:after="280" w:line="312" w:lineRule="auto"/>
        <w:ind w:firstLine="567"/>
        <w:jc w:val="both"/>
      </w:pPr>
      <w:r>
        <w:rPr>
          <w:rFonts w:ascii="Inter" w:hAnsi="Inter"/>
          <w:color w:val="655D50"/>
          <w:sz w:val="24"/>
        </w:rPr>
        <w:t>По результатам таможенной проверки в структуру таможенной стоимости товаров, ввезенных обществом, в качестве дополнительных начислений включена часть чистой прибыли, перечисленная иностранному продавцу − учредителю общества, которая таможенным органом квалифицирована в качестве части стоимости ввозимых товаров.</w:t>
      </w:r>
    </w:p>
    <w:p>
      <w:pPr>
        <w:widowControl/>
        <w:spacing w:after="280" w:line="312" w:lineRule="auto"/>
        <w:ind w:firstLine="567"/>
        <w:jc w:val="both"/>
      </w:pPr>
      <w:r>
        <w:rPr>
          <w:rFonts w:ascii="Inter" w:hAnsi="Inter"/>
          <w:color w:val="655D50"/>
          <w:sz w:val="24"/>
        </w:rPr>
        <w:t>В ходе проведения мероприятий таможенного контроля и при рассмотрении дела общество не представило доказательств, опровергающих признаки недостоверного определения таможенной стоимости, в том числе применительно к пункту 5 статьи 39 ТК ЕАЭС и пункту 20 постановления Пленума № 49 не раскрыло документы и сведения о ценообразовании, которое применялось при экспорте товаров в Российскую Федерацию.</w:t>
      </w:r>
    </w:p>
    <w:p>
      <w:pPr>
        <w:widowControl/>
        <w:spacing w:after="280" w:line="312" w:lineRule="auto"/>
        <w:ind w:firstLine="567"/>
        <w:jc w:val="both"/>
      </w:pPr>
      <w:r>
        <w:rPr>
          <w:rFonts w:ascii="Inter" w:hAnsi="Inter"/>
          <w:color w:val="655D50"/>
          <w:sz w:val="24"/>
        </w:rPr>
        <w:t>При таком положении выводы судов об отсутствии у таможенного органа оснований для корректировки таможенной стоимости на сумму дохода (выручки), полученного обществом от продажи ввезенных товаров и перечисленного им своему единственному иностранному учредителю и поставщику товаров, признаны необоснованными.</w:t>
      </w:r>
    </w:p>
    <w:p>
      <w:pPr>
        <w:widowControl/>
        <w:spacing w:after="280" w:line="312" w:lineRule="auto"/>
        <w:ind w:firstLine="567"/>
        <w:jc w:val="both"/>
      </w:pPr>
      <w:r>
        <w:rPr>
          <w:rFonts w:ascii="Inter" w:hAnsi="Inter"/>
          <w:color w:val="655D50"/>
          <w:sz w:val="24"/>
        </w:rPr>
        <w:t>В другом деле по результатам проведенной проверки в отношении общества таможенный орган пришел к выводу о том, что дивиденды, перечисленные поставщику, одновременно выступающему учредителем общества, связаны с ввозимыми обществом товарами и должны быть добавлены к цене, фактически уплаченной или подлежащей уплате за эти товары в соответствии с подпунктом 3 пункта 1 статьи 40 ТК ЕАЭС. В связи с этим таможенный орган принял решения о внесении соответствующих изменений в сведения, указанные в декларациях на товары.</w:t>
      </w:r>
    </w:p>
    <w:p>
      <w:pPr>
        <w:widowControl/>
        <w:spacing w:after="280" w:line="312" w:lineRule="auto"/>
        <w:ind w:firstLine="567"/>
        <w:jc w:val="both"/>
      </w:pPr>
      <w:r>
        <w:rPr>
          <w:rFonts w:ascii="Inter" w:hAnsi="Inter"/>
          <w:color w:val="655D50"/>
          <w:sz w:val="24"/>
        </w:rPr>
        <w:t>Не согласившись с указанным решением, общество обратилось в арбитражный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заявленные обществом требования удовлетворены.</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указала на следующее.</w:t>
      </w:r>
    </w:p>
    <w:p>
      <w:pPr>
        <w:widowControl/>
        <w:spacing w:after="280" w:line="312" w:lineRule="auto"/>
        <w:ind w:firstLine="567"/>
        <w:jc w:val="both"/>
      </w:pPr>
      <w:r>
        <w:rPr>
          <w:rFonts w:ascii="Inter" w:hAnsi="Inter"/>
          <w:color w:val="655D50"/>
          <w:sz w:val="24"/>
        </w:rPr>
        <w:t>Из взаимосвязанных положений пункта 15 статьи 38, пунктов 1, 3 статьи 39, подпункта 3 пункта 1 статьи 40 ТК ЕАЭС следует, что стоимость сделки с ввозимыми товарами может быть дополнена иными платежами (элементами), которые приходятся на покупателя, создают доход продавца с таможенной территории соответствующего государства и, следовательно, считаются формирующими часть цены, используемой для таможенных целей, даже если они не были включены в контрактную цену товаров.</w:t>
      </w:r>
    </w:p>
    <w:p>
      <w:pPr>
        <w:widowControl/>
        <w:spacing w:after="280" w:line="312" w:lineRule="auto"/>
        <w:ind w:firstLine="567"/>
        <w:jc w:val="both"/>
      </w:pPr>
      <w:r>
        <w:rPr>
          <w:rFonts w:ascii="Inter" w:hAnsi="Inter"/>
          <w:color w:val="655D50"/>
          <w:sz w:val="24"/>
        </w:rPr>
        <w:t>Если ввоз товаров осуществляется на основании сделок, совершаемых между участниками одной группы компаний, а доход (выручка) российского покупателя формируется преимущественно за счет продажи ввезенных товаров, решение вопроса о выплате дивидендов оказывается исключительно вопросом усмотрения иностранного поставщика и (или) взаимосвязанных с ним участников группы компаний (при отсутствии законодательных ограничений), что порождает существенный риск манипулирования элементами стоимости товара, формирующими его таможенную стоимость.</w:t>
      </w:r>
    </w:p>
    <w:p>
      <w:pPr>
        <w:widowControl/>
        <w:spacing w:after="280" w:line="312" w:lineRule="auto"/>
        <w:ind w:firstLine="567"/>
        <w:jc w:val="both"/>
      </w:pPr>
      <w:r>
        <w:rPr>
          <w:rFonts w:ascii="Inter" w:hAnsi="Inter"/>
          <w:color w:val="655D50"/>
          <w:sz w:val="24"/>
        </w:rPr>
        <w:t>Установив наличие признаков такого рода манипулирования при формировании стоимости сделки с ввозимыми товарами со стороны декларанта в случаях импорта товаров по сделкам между взаимосвязанными лицами, таможенные органы вправе изучить обстоятельства, сопутствовавшие продаже товаров, а декларант обязан подтвердить, что фактически уплаченная или подлежащая уплате за товар цена была установлена в отсутствие влияния на нее взаимосвязи сторон сделки, в том числе посредством раскрытия информации о ценообразовании.</w:t>
      </w:r>
    </w:p>
    <w:p>
      <w:pPr>
        <w:widowControl/>
        <w:spacing w:after="280" w:line="312" w:lineRule="auto"/>
        <w:ind w:firstLine="567"/>
        <w:jc w:val="both"/>
      </w:pPr>
      <w:r>
        <w:rPr>
          <w:rFonts w:ascii="Inter" w:hAnsi="Inter"/>
          <w:color w:val="655D50"/>
          <w:sz w:val="24"/>
        </w:rPr>
        <w:t>В ходе рассмотрения дела таможенным органом последовательно приводились доводы о том, что декларант является единственным уполномоченным эксклюзивным продавцом товаров торговой марки Chanel в России. При этом единственным поставщиком и одновременно учредителем декларанта является иностранное лицо − компания «Шанель» (Франция), в адрес которого и выплачиваются дивиденды.</w:t>
      </w:r>
    </w:p>
    <w:p>
      <w:pPr>
        <w:widowControl/>
        <w:spacing w:after="280" w:line="312" w:lineRule="auto"/>
        <w:ind w:firstLine="567"/>
        <w:jc w:val="both"/>
      </w:pPr>
      <w:r>
        <w:rPr>
          <w:rFonts w:ascii="Inter" w:hAnsi="Inter"/>
          <w:color w:val="655D50"/>
          <w:sz w:val="24"/>
        </w:rPr>
        <w:t>Наибольший объем при формировании финансового результата общества составила выручка от продажи ввезенных товаров, приобретенных у компании «Шанель», основным источником дохода общества являются поступления денежных средств от продажи импортируемых товаров, а основным видом деятельности общества является ввоз и реализация ввозимых товаров.</w:t>
      </w:r>
    </w:p>
    <w:p>
      <w:pPr>
        <w:widowControl/>
        <w:spacing w:after="280" w:line="312" w:lineRule="auto"/>
        <w:ind w:firstLine="567"/>
        <w:jc w:val="both"/>
      </w:pPr>
      <w:r>
        <w:rPr>
          <w:rFonts w:ascii="Inter" w:hAnsi="Inter"/>
          <w:color w:val="655D50"/>
          <w:sz w:val="24"/>
        </w:rPr>
        <w:t>Таким образом, учитывая, что компания «Шанель» является одновременно и учредителем общества, и поставщиком товаров, реализацию которых на территории Российской Федерации осуществляло общество, выплаченный в адрес компании «Шанель» доход (чистая прибыль) является доходом, полученным в связи с реализацией ввезенных товаров, и подлежит включению в таможенную стоимость товаров.</w:t>
      </w:r>
    </w:p>
    <w:p>
      <w:pPr>
        <w:widowControl/>
        <w:spacing w:after="280" w:line="312" w:lineRule="auto"/>
        <w:ind w:firstLine="567"/>
        <w:jc w:val="both"/>
      </w:pPr>
      <w:r>
        <w:rPr>
          <w:rFonts w:ascii="Inter" w:hAnsi="Inter"/>
          <w:color w:val="655D50"/>
          <w:sz w:val="24"/>
        </w:rPr>
        <w:t>Несмотря на то, что взаимосвязь указанных выше лиц и особенности корпоративных отношений между ними послужили основанием для принятия оспариваемых решений, запрос таможенного органа о представлении документов и сведений, подтверждающих или опровергающих признаки недостоверного определения таможенной стоимости, общество оставило без ответа, не раскрыв документы и сведения о ценообразовании.</w:t>
      </w:r>
    </w:p>
    <w:p>
      <w:pPr>
        <w:widowControl/>
        <w:spacing w:after="280" w:line="312" w:lineRule="auto"/>
        <w:ind w:firstLine="567"/>
        <w:jc w:val="both"/>
      </w:pPr>
      <w:r>
        <w:rPr>
          <w:rFonts w:ascii="Inter" w:hAnsi="Inter"/>
          <w:color w:val="655D50"/>
          <w:sz w:val="24"/>
        </w:rPr>
        <w:t>Поскольку доводы таможенного органа и представленные в их подтверждение доказательства не получили надлежащей судебной оценки, дело направлено на новое рассмотрение.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10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10</dc:title>
  <dc:subject/>
  <dc:creator>CasusLegal</dc:creator>
  <cp:keywords/>
  <dc:description/>
  <cp:lastModifiedBy>CasusLegal</cp:lastModifiedBy>
  <cp:revision>1</cp:revision>
  <dcterms:created xsi:type="dcterms:W3CDTF">2026-07-21T21:23:33Z</dcterms:created>
  <dcterms:modified xsi:type="dcterms:W3CDTF">2026-07-21T21:23:33Z</dcterms:modified>
  <cp:category/>
</cp:coreProperties>
</file>