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Тематический обзор Верховного Суда Российской Федерации № 9/2026. О рассмотрении судами споров, связанных с применением таможенного законодательства, п. 7</w:t>
      </w:r>
    </w:p>
    <w:p>
      <w:pPr>
        <w:spacing w:after="40"/>
      </w:pPr>
      <w:r>
        <w:rPr>
          <w:rFonts w:ascii="Inter" w:hAnsi="Inter"/>
          <w:b/>
          <w:color w:val="8B8171"/>
          <w:sz w:val="18"/>
        </w:rPr>
        <w:t xml:space="preserve">Суд: </w:t>
      </w:r>
      <w:r>
        <w:rPr>
          <w:rFonts w:ascii="Inter" w:hAnsi="Inter"/>
          <w:color w:val="655D50"/>
          <w:sz w:val="18"/>
        </w:rPr>
        <w:t>Верховный Суд РФ (Президиум, обзор)</w:t>
      </w:r>
    </w:p>
    <w:p>
      <w:pPr>
        <w:spacing w:after="40"/>
      </w:pPr>
      <w:r>
        <w:rPr>
          <w:rFonts w:ascii="Inter" w:hAnsi="Inter"/>
          <w:b/>
          <w:color w:val="8B8171"/>
          <w:sz w:val="18"/>
        </w:rPr>
        <w:t xml:space="preserve">Дата: </w:t>
      </w:r>
      <w:r>
        <w:rPr>
          <w:rFonts w:ascii="Inter" w:hAnsi="Inter"/>
          <w:color w:val="655D50"/>
          <w:sz w:val="18"/>
        </w:rPr>
        <w:t>17.06.2026</w:t>
      </w:r>
    </w:p>
    <w:p>
      <w:pPr>
        <w:spacing w:after="40"/>
      </w:pPr>
      <w:r>
        <w:rPr>
          <w:rFonts w:ascii="Inter" w:hAnsi="Inter"/>
          <w:b/>
          <w:color w:val="8B8171"/>
          <w:sz w:val="18"/>
        </w:rPr>
        <w:t xml:space="preserve">Номер дела: </w:t>
      </w:r>
      <w:r>
        <w:rPr>
          <w:rFonts w:ascii="Inter" w:hAnsi="Inter"/>
          <w:color w:val="655D50"/>
          <w:sz w:val="18"/>
        </w:rPr>
        <w:t>12А/2026</w:t>
      </w:r>
    </w:p>
    <w:p>
      <w:pPr>
        <w:spacing w:after="40"/>
      </w:pPr>
      <w:r>
        <w:rPr>
          <w:rFonts w:ascii="Inter" w:hAnsi="Inter"/>
          <w:b/>
          <w:color w:val="8B8171"/>
          <w:sz w:val="18"/>
        </w:rPr>
        <w:t xml:space="preserve">Применённые нормы: </w:t>
      </w:r>
      <w:r>
        <w:rPr>
          <w:rFonts w:ascii="Inter" w:hAnsi="Inter"/>
          <w:color w:val="655D50"/>
          <w:sz w:val="18"/>
        </w:rPr>
        <w:t>ст. 40 ТК ЕАЭС</w:t>
      </w:r>
    </w:p>
    <w:p>
      <w:pPr>
        <w:spacing w:after="40"/>
      </w:pPr>
      <w:r>
        <w:rPr>
          <w:rFonts w:ascii="Inter" w:hAnsi="Inter"/>
          <w:b/>
          <w:color w:val="8B8171"/>
          <w:sz w:val="18"/>
        </w:rPr>
        <w:t xml:space="preserve">Теги: </w:t>
      </w:r>
      <w:r>
        <w:rPr>
          <w:rFonts w:ascii="Inter" w:hAnsi="Inter"/>
          <w:color w:val="655D50"/>
          <w:sz w:val="18"/>
        </w:rPr>
        <w:t>таможенная стоимость, лицензионные платежи, статья 40 ТК ЕАЭС, условие продажи товара, интеллектуальная собственность, дополнительные начисления, ноу-хау, роялти</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Лицензионные платежи подлежат включению в таможенную стоимость ввезенных товаров, если в отсутствие таких платежей фактически не могла быть осуществлена продажа оцениваемых товаров в страну импорта.</w:t>
      </w:r>
    </w:p>
    <w:p>
      <w:pPr>
        <w:widowControl/>
        <w:spacing w:after="280" w:line="312" w:lineRule="auto"/>
        <w:ind w:firstLine="567"/>
        <w:jc w:val="both"/>
      </w:pPr>
      <w:r>
        <w:rPr>
          <w:rFonts w:ascii="Inter" w:hAnsi="Inter"/>
          <w:color w:val="655D50"/>
          <w:sz w:val="24"/>
        </w:rPr>
        <w:t>По результатам проведенной проверки таможенный орган пришел к выводу, что в таможенную стоимость задекларированных обществом товаров должно включаться вознаграждение за использование ноу-хау, программного обеспечения, веб-сайта и коммерческого обозначения иностранной компании по договору коммерческой концессии, в связи с чем принял решения о внесении изменений (дополнений) в сведения, указанные в декларациях на товары.</w:t>
      </w:r>
    </w:p>
    <w:p>
      <w:pPr>
        <w:widowControl/>
        <w:spacing w:after="280" w:line="312" w:lineRule="auto"/>
        <w:ind w:firstLine="567"/>
        <w:jc w:val="both"/>
      </w:pPr>
      <w:r>
        <w:rPr>
          <w:rFonts w:ascii="Inter" w:hAnsi="Inter"/>
          <w:color w:val="655D50"/>
          <w:sz w:val="24"/>
        </w:rPr>
        <w:t>Общество обратилось в суд с заявлением о признании незаконным решения таможенного органа.</w:t>
      </w:r>
    </w:p>
    <w:p>
      <w:pPr>
        <w:widowControl/>
        <w:spacing w:after="280" w:line="312" w:lineRule="auto"/>
        <w:ind w:firstLine="567"/>
        <w:jc w:val="both"/>
      </w:pPr>
      <w:r>
        <w:rPr>
          <w:rFonts w:ascii="Inter" w:hAnsi="Inter"/>
          <w:color w:val="655D50"/>
          <w:sz w:val="24"/>
        </w:rPr>
        <w:t>Решением суда первой инстанции, оставленным без изменения судами апелляционной и кассационной инстанций, заявленное обществом требование удовлетворено. При этом суды исходили из того, что договоры поставки и коммерческой концессии не содержат положений об уплате спорных лицензионных платежей покупателем в качестве условия продажи ввозимых товаров.</w:t>
      </w:r>
    </w:p>
    <w:p>
      <w:pPr>
        <w:widowControl/>
        <w:spacing w:after="280" w:line="312" w:lineRule="auto"/>
        <w:ind w:firstLine="567"/>
        <w:jc w:val="both"/>
      </w:pPr>
      <w:r>
        <w:rPr>
          <w:rFonts w:ascii="Inter" w:hAnsi="Inter"/>
          <w:color w:val="655D50"/>
          <w:sz w:val="24"/>
        </w:rPr>
        <w:t>Судебная коллегия Верховного Суда Российской Федерации, отменяя состоявшиеся по делу судебные акты и принимая решение об отказе обществу в удовлетворении заявленного требования, обратила внимание на следующее.</w:t>
      </w:r>
    </w:p>
    <w:p>
      <w:pPr>
        <w:widowControl/>
        <w:spacing w:after="280" w:line="312" w:lineRule="auto"/>
        <w:ind w:firstLine="567"/>
        <w:jc w:val="both"/>
      </w:pPr>
      <w:r>
        <w:rPr>
          <w:rFonts w:ascii="Inter" w:hAnsi="Inter"/>
          <w:color w:val="655D50"/>
          <w:sz w:val="24"/>
        </w:rPr>
        <w:t>В соответствии с подпунктом 7 пункта 1 статьи 40 ТК ЕАЭС к таможенной стоимости ввозимых товаров, определяемой по стоимости сделки с ними, добавляются лицензионные и иные подобные платежи за использование объектов интеллектуальной собственности, которые относятся к ввозимым товарам и которые прямо или косвенно произвел или должен произвести покупатель в качестве условия продажи ввозимых товаров для вывоза на таможенную территорию ЕАЭС.</w:t>
      </w:r>
    </w:p>
    <w:p>
      <w:pPr>
        <w:widowControl/>
        <w:spacing w:after="280" w:line="312" w:lineRule="auto"/>
        <w:ind w:firstLine="567"/>
        <w:jc w:val="both"/>
      </w:pPr>
      <w:r>
        <w:rPr>
          <w:rFonts w:ascii="Inter" w:hAnsi="Inter"/>
          <w:color w:val="655D50"/>
          <w:sz w:val="24"/>
        </w:rPr>
        <w:t>Платежи за использование объектов интеллектуальной собственности, не включенные в цену, фактически уплаченную или подлежащую уплате за ввозимые товары, учитываются в качестве одного из дополнительных начислений к цене при выполнении в совокупности двух требований: эти платежи относятся к ввозимым товарам и их уплата является условием продажи оцениваемых товаров (прямо или косвенно) для их вывоза на таможенную территорию Союза (пункт 17 постановления Пленума № 49).</w:t>
      </w:r>
    </w:p>
    <w:p>
      <w:pPr>
        <w:widowControl/>
        <w:spacing w:after="280" w:line="312" w:lineRule="auto"/>
        <w:ind w:firstLine="567"/>
        <w:jc w:val="both"/>
      </w:pPr>
      <w:r>
        <w:rPr>
          <w:rFonts w:ascii="Inter" w:hAnsi="Inter"/>
          <w:color w:val="655D50"/>
          <w:sz w:val="24"/>
        </w:rPr>
        <w:t>Исходя из приведенных положений включение лицензионных платежей в таможенную стоимость не ограничивается случаями, когда непосредственно ввезенные товары являются предметом лицензионных соглашений (товарный знак нанесен на товары и т. п.), а в договоре купли-продажи имеется явно выраженное указание на необходимость заключения лицензионного договора и уплаты лицензионных платежей в качестве условия продажи товаров.</w:t>
      </w:r>
    </w:p>
    <w:p>
      <w:pPr>
        <w:widowControl/>
        <w:spacing w:after="280" w:line="312" w:lineRule="auto"/>
        <w:ind w:firstLine="567"/>
        <w:jc w:val="both"/>
      </w:pPr>
      <w:r>
        <w:rPr>
          <w:rFonts w:ascii="Inter" w:hAnsi="Inter"/>
          <w:color w:val="655D50"/>
          <w:sz w:val="24"/>
        </w:rPr>
        <w:t>В тех случаях, когда ввоз товаров осуществляется на основании сделок, совершаемых между участниками одной группы компаний, решение вопроса о заключении договоров, опосредующих использование объектов интеллектуальной собственности импортером, оказывается исключительно вопросом усмотрения иностранного поставщика и взаимосвязанных с ним участников группы, что порождает существенный риск манипулирования элементами стоимости товара, формирующими его таможенную стоимость. В таких случаях уплата роялти может являться условием продажи товара для его ввоза в силу принятых внутри группы компаний правил ведения деятельности, что не находит прямого отражения в договорных условиях.</w:t>
      </w:r>
    </w:p>
    <w:p>
      <w:pPr>
        <w:widowControl/>
        <w:spacing w:after="280" w:line="312" w:lineRule="auto"/>
        <w:ind w:firstLine="567"/>
        <w:jc w:val="both"/>
      </w:pPr>
      <w:r>
        <w:rPr>
          <w:rFonts w:ascii="Inter" w:hAnsi="Inter"/>
          <w:color w:val="655D50"/>
          <w:sz w:val="24"/>
        </w:rPr>
        <w:t>При определении того, относятся ли лицензионные платежи к оцениваемым (ввозимым) товарам и является ли внесение данных платежей условием продажи товара, приобретенного по сделкам, совершенным в рамках одной группы компаний, значение имеет взаимосвязь между принятием импортером на себя обязательства по уплате роялти и возникновением (сохранением) у него возможности использовать ввезенные товары не только юридически (на законном основании), но и фактически (с учетом принятых внутри группы компаний правил организации торговой деятельности под определенным брендом).</w:t>
      </w:r>
    </w:p>
    <w:p>
      <w:pPr>
        <w:widowControl/>
        <w:spacing w:after="280" w:line="312" w:lineRule="auto"/>
        <w:ind w:firstLine="567"/>
        <w:jc w:val="both"/>
      </w:pPr>
      <w:r>
        <w:rPr>
          <w:rFonts w:ascii="Inter" w:hAnsi="Inter"/>
          <w:color w:val="655D50"/>
          <w:sz w:val="24"/>
        </w:rPr>
        <w:t>Если внутри группы компаний установлены требования по использованию объектов интеллектуальных прав, делающие возможным продажу товаров в страну импорта для последующей розничной торговли, в том числе требования относительно использования ноу-хау, программного обеспечения, веб-сайта и коммерческого обозначения, соответствующие платежи, осуществляемые в пользу поставщика или иного участника группы компаний, могут рассматриваться как элементы действительной стоимости товаров, которые в силу подпункта 7 пункта 1 статьи 40 ТК ЕАЭС должны быть учтены для целей их таможенной оценки.</w:t>
      </w:r>
    </w:p>
    <w:p>
      <w:pPr>
        <w:widowControl/>
        <w:spacing w:after="280" w:line="312" w:lineRule="auto"/>
        <w:ind w:firstLine="567"/>
        <w:jc w:val="both"/>
      </w:pPr>
      <w:r>
        <w:rPr>
          <w:rFonts w:ascii="Inter" w:hAnsi="Inter"/>
          <w:color w:val="655D50"/>
          <w:sz w:val="24"/>
        </w:rPr>
        <w:t>Согласно материалам дела общество является импортером одежды, обуви и аксессуаров, маркированных товарным знаком Bershka, которые реализуются в фирменных розничных магазинах Bershka в Российской Федерации, а также через интернет-магазин.</w:t>
      </w:r>
    </w:p>
    <w:p>
      <w:pPr>
        <w:widowControl/>
        <w:spacing w:after="280" w:line="312" w:lineRule="auto"/>
        <w:ind w:firstLine="567"/>
        <w:jc w:val="both"/>
      </w:pPr>
      <w:r>
        <w:rPr>
          <w:rFonts w:ascii="Inter" w:hAnsi="Inter"/>
          <w:color w:val="655D50"/>
          <w:sz w:val="24"/>
        </w:rPr>
        <w:t>Ввоз одежды, обуви и аксессуаров осуществляется обществом на основании договоров поставки, заключенных с компанией, зарегистрированной в Испании. Также общество ввозит оборудование для магазинов на основании договора поставки, заключенного с компанией, зарегистрированной в Нидерландах. Помимо этого, с компанией, зарегистрированной в Нидерландах и являющейся поставщиком оборудования, обществом заключен договор коммерческой концессии, согласно которому иностранный правообладатель предоставляет обществу (пользователь) право на использование товарного знака Bershka, а также ноу-хау, программного обеспечения, веб-сайта и коммерческого обозначения. За использование товарного знака договор коммерческой концессии предусматривает уплату вознаграждения в размере 1,5 % от фактурной стоимости ввезенного товара.</w:t>
      </w:r>
    </w:p>
    <w:p>
      <w:pPr>
        <w:widowControl/>
        <w:spacing w:after="280" w:line="312" w:lineRule="auto"/>
        <w:ind w:firstLine="567"/>
        <w:jc w:val="both"/>
      </w:pPr>
      <w:r>
        <w:rPr>
          <w:rFonts w:ascii="Inter" w:hAnsi="Inter"/>
          <w:color w:val="655D50"/>
          <w:sz w:val="24"/>
        </w:rPr>
        <w:t>Все указанные компании входят в одну группу лиц вместе с обществом.</w:t>
      </w:r>
    </w:p>
    <w:p>
      <w:pPr>
        <w:widowControl/>
        <w:spacing w:after="280" w:line="312" w:lineRule="auto"/>
        <w:ind w:firstLine="567"/>
        <w:jc w:val="both"/>
      </w:pPr>
      <w:r>
        <w:rPr>
          <w:rFonts w:ascii="Inter" w:hAnsi="Inter"/>
          <w:color w:val="655D50"/>
          <w:sz w:val="24"/>
        </w:rPr>
        <w:t>Совокупность приведенных обстоятельств свидетельствует о том, что в данном случае деятельность общества состояла исключительно в дистрибуции товаров Bershka (лицензионные платежи относятся к ввезенным товарам) и экспорт товаров для ввоза в Российскую Федерацию без заключения договора коммерческой концессии не предполагался исходя из особенностей деятельности группы компаний.</w:t>
      </w:r>
    </w:p>
    <w:p>
      <w:pPr>
        <w:widowControl/>
        <w:spacing w:after="280" w:line="312" w:lineRule="auto"/>
        <w:ind w:firstLine="567"/>
        <w:jc w:val="both"/>
      </w:pPr>
      <w:r>
        <w:rPr>
          <w:rFonts w:ascii="Inter" w:hAnsi="Inter"/>
          <w:color w:val="655D50"/>
          <w:sz w:val="24"/>
        </w:rPr>
        <w:t>Следовательно, выводы судов о том, что права, предоставленные по договору коммерческой концессии, служат только для индивидуализации предприятия и используются в его административно-хозяйственной деятельности, не могли быть признаны основанием для удовлетворения заявленных требований.</w:t>
      </w:r>
    </w:p>
    <w:p>
      <w:pPr>
        <w:widowControl/>
        <w:spacing w:after="280" w:line="312" w:lineRule="auto"/>
        <w:ind w:firstLine="567"/>
        <w:jc w:val="both"/>
      </w:pPr>
      <w:r>
        <w:rPr>
          <w:rFonts w:ascii="Inter" w:hAnsi="Inter"/>
          <w:color w:val="655D50"/>
          <w:sz w:val="24"/>
        </w:rPr>
        <w:t>В другом деле обществом ввезены на таможенную территорию ЕАЭС и задекларированы товары, содержащие нанесенный товарный знак: пробки для укупорки бутылок, посуду и столовые приборы.</w:t>
      </w:r>
    </w:p>
    <w:p>
      <w:pPr>
        <w:widowControl/>
        <w:spacing w:after="280" w:line="312" w:lineRule="auto"/>
        <w:ind w:firstLine="567"/>
        <w:jc w:val="both"/>
      </w:pPr>
      <w:r>
        <w:rPr>
          <w:rFonts w:ascii="Inter" w:hAnsi="Inter"/>
          <w:color w:val="655D50"/>
          <w:sz w:val="24"/>
        </w:rPr>
        <w:t>По результатам проведенной проверки таможенный орган произвел перерасчет таможенной стоимости спорных товаров с включением в нее лицензионных платежей, уплаченных обществом.</w:t>
      </w:r>
    </w:p>
    <w:p>
      <w:pPr>
        <w:widowControl/>
        <w:spacing w:after="280" w:line="312" w:lineRule="auto"/>
        <w:ind w:firstLine="567"/>
        <w:jc w:val="both"/>
      </w:pPr>
      <w:r>
        <w:rPr>
          <w:rFonts w:ascii="Inter" w:hAnsi="Inter"/>
          <w:color w:val="655D50"/>
          <w:sz w:val="24"/>
        </w:rPr>
        <w:t>Не согласившись с вынесенным таможенным органом решением, общество обратилось в суд с заявлением о признании его незаконным.</w:t>
      </w:r>
    </w:p>
    <w:p>
      <w:pPr>
        <w:widowControl/>
        <w:spacing w:after="280" w:line="312" w:lineRule="auto"/>
        <w:ind w:firstLine="567"/>
        <w:jc w:val="both"/>
      </w:pPr>
      <w:r>
        <w:rPr>
          <w:rFonts w:ascii="Inter" w:hAnsi="Inter"/>
          <w:color w:val="655D50"/>
          <w:sz w:val="24"/>
        </w:rPr>
        <w:t>Решением суда первой инстанции отказано в удовлетворении заявленных обществом требований. Суд апелляционной инстанции, с выводами которого согласился суд кассационной инстанции, отменил решение суда первой инстанции и удовлетворил требование общества.</w:t>
      </w:r>
    </w:p>
    <w:p>
      <w:pPr>
        <w:widowControl/>
        <w:spacing w:after="280" w:line="312" w:lineRule="auto"/>
        <w:ind w:firstLine="567"/>
        <w:jc w:val="both"/>
      </w:pPr>
      <w:r>
        <w:rPr>
          <w:rFonts w:ascii="Inter" w:hAnsi="Inter"/>
          <w:color w:val="655D50"/>
          <w:sz w:val="24"/>
        </w:rPr>
        <w:t>Судебная коллегия Верховного Суда Российской Федерации, отменяя состоявшиеся по делу судебные акты и направляя дело на новое рассмотрение, обратила внимание на следующее.</w:t>
      </w:r>
    </w:p>
    <w:p>
      <w:pPr>
        <w:widowControl/>
        <w:spacing w:after="280" w:line="312" w:lineRule="auto"/>
        <w:ind w:firstLine="567"/>
        <w:jc w:val="both"/>
      </w:pPr>
      <w:r>
        <w:rPr>
          <w:rFonts w:ascii="Inter" w:hAnsi="Inter"/>
          <w:color w:val="655D50"/>
          <w:sz w:val="24"/>
        </w:rPr>
        <w:t>По смыслу подпункта 7 пункта 1 статьи 40 ТК ЕАЭС и разъяснений, данных в пункте 17 постановления Пленума № 49, платежи за использование объектов интеллектуальной собственности (роялти, лицензионные платежи) подлежат учету для целей таможенной оценки ввезенных товаров как один из компонентов таможенной стоимости при ее определении первым методом (по стоимости сделки с ввозимыми товарами) в той мере, в какой они влияют на их экономическую ценность.</w:t>
      </w:r>
    </w:p>
    <w:p>
      <w:pPr>
        <w:widowControl/>
        <w:spacing w:after="280" w:line="312" w:lineRule="auto"/>
        <w:ind w:firstLine="567"/>
        <w:jc w:val="both"/>
      </w:pPr>
      <w:r>
        <w:rPr>
          <w:rFonts w:ascii="Inter" w:hAnsi="Inter"/>
          <w:color w:val="655D50"/>
          <w:sz w:val="24"/>
        </w:rPr>
        <w:t>Если конкретный объект интеллектуальной собственности, за использование которого уплачиваются лицензионные платежи, ввозится на таможенную территорию и является составной частью этого товара, стоимость указанного объекта как неотъемлемой составляющей товара формирует более высокую коммерческую ценность товара для покупателя и продавца, соответственно, включается в цену, уплаченную или подлежащую уплате за ввозимый товар (стоимость сделки).</w:t>
      </w:r>
    </w:p>
    <w:p>
      <w:pPr>
        <w:widowControl/>
        <w:spacing w:after="280" w:line="312" w:lineRule="auto"/>
        <w:ind w:firstLine="567"/>
        <w:jc w:val="both"/>
      </w:pPr>
      <w:r>
        <w:rPr>
          <w:rFonts w:ascii="Inter" w:hAnsi="Inter"/>
          <w:color w:val="655D50"/>
          <w:sz w:val="24"/>
        </w:rPr>
        <w:t>При этом включение лицензионных платежей в таможенную стоимость напрямую не обусловлено способом определения размера роялти (в зависимости от стоимости ввезенных товаров или иных показателей финансово-хозяйственной деятельности импортера), периодичностью уплаты лицензионных платежей, иными подобными обстоятельствами.</w:t>
      </w:r>
    </w:p>
    <w:p>
      <w:pPr>
        <w:widowControl/>
        <w:spacing w:after="280" w:line="312" w:lineRule="auto"/>
        <w:ind w:firstLine="567"/>
        <w:jc w:val="both"/>
      </w:pPr>
      <w:r>
        <w:rPr>
          <w:rFonts w:ascii="Inter" w:hAnsi="Inter"/>
          <w:color w:val="655D50"/>
          <w:sz w:val="24"/>
        </w:rPr>
        <w:t>Судами установлено, что товарный знак нанесен на товары, ввозимые обществом на таможенную территорию ЕАЭС в соответствии с заключенными внешнеторговыми контрактами, и служит для индивидуализации производимой обществом алкогольной продукции.</w:t>
      </w:r>
    </w:p>
    <w:p>
      <w:pPr>
        <w:widowControl/>
        <w:spacing w:after="280" w:line="312" w:lineRule="auto"/>
        <w:ind w:firstLine="567"/>
        <w:jc w:val="both"/>
      </w:pPr>
      <w:r>
        <w:rPr>
          <w:rFonts w:ascii="Inter" w:hAnsi="Inter"/>
          <w:color w:val="655D50"/>
          <w:sz w:val="24"/>
        </w:rPr>
        <w:t>Предоставленные обществу исключительные права по лицензионному договору включают в себя использование товарного знака для производства, продажи и иного введения в гражданский оборот товаров, маркируемых товарными знаками, в том числе право применять товарные знаки на товарах и их упаковках. Согласно положениям лицензионного договора после истечения срока его действия или в случае его досрочного расторжения лицензиат не вправе использовать товарные знаки.</w:t>
      </w:r>
    </w:p>
    <w:p>
      <w:pPr>
        <w:widowControl/>
        <w:spacing w:after="280" w:line="312" w:lineRule="auto"/>
        <w:ind w:firstLine="567"/>
        <w:jc w:val="both"/>
      </w:pPr>
      <w:r>
        <w:rPr>
          <w:rFonts w:ascii="Inter" w:hAnsi="Inter"/>
          <w:color w:val="655D50"/>
          <w:sz w:val="24"/>
        </w:rPr>
        <w:t>Таким образом, уплата лицензионных платежей охватывает в том числе ввоз оцениваемых в ходе таможенного контроля товаров и является условием их использования, поскольку иные цели ввоза спорных товаров, кроме как закупоривание винных бутылок и привлечение внимания покупателей, у декларанта отсутствуют.</w:t>
      </w:r>
    </w:p>
    <w:p>
      <w:pPr>
        <w:widowControl/>
        <w:spacing w:after="280" w:line="312" w:lineRule="auto"/>
        <w:ind w:firstLine="567"/>
        <w:jc w:val="both"/>
      </w:pPr>
      <w:r>
        <w:rPr>
          <w:rFonts w:ascii="Inter" w:hAnsi="Inter"/>
          <w:color w:val="655D50"/>
          <w:sz w:val="24"/>
        </w:rPr>
        <w:t>При таких обстоятельствах доводы таможенного органа о наличии оснований для включения лицензионных платежей в таможенную стоимость признаны Судебной коллегией Верховного Суда Российской Федерации правомерными.</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"Тематический обзор Верховного Суда Российской Федерации № 9/2026. О рассмотрении судами споров, связанных с применением таможенного законодательства", п. 7</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Тематический обзор Верховного Суда Российской Федерации № 9/2026. О рассмотрении судами споров, связанных с применением таможенного законодательства, п. 7</dc:title>
  <dc:subject/>
  <dc:creator>CasusLegal</dc:creator>
  <cp:keywords/>
  <dc:description/>
  <cp:lastModifiedBy>CasusLegal</cp:lastModifiedBy>
  <cp:revision>1</cp:revision>
  <dcterms:created xsi:type="dcterms:W3CDTF">2026-07-21T21:39:33Z</dcterms:created>
  <dcterms:modified xsi:type="dcterms:W3CDTF">2026-07-21T21:39:33Z</dcterms:modified>
  <cp:category/>
</cp:coreProperties>
</file>