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40 ТК ЕАЭС, ст. 38 ТК ЕАЭС, ст. 37 ТК ЕАЭС</w:t>
      </w:r>
    </w:p>
    <w:p>
      <w:pPr>
        <w:spacing w:after="40"/>
      </w:pPr>
      <w:r>
        <w:rPr>
          <w:rFonts w:ascii="Inter" w:hAnsi="Inter"/>
          <w:b/>
          <w:color w:val="8B8171"/>
          <w:sz w:val="18"/>
        </w:rPr>
        <w:t xml:space="preserve">Теги: </w:t>
      </w:r>
      <w:r>
        <w:rPr>
          <w:rFonts w:ascii="Inter" w:hAnsi="Inter"/>
          <w:color w:val="655D50"/>
          <w:sz w:val="18"/>
        </w:rPr>
        <w:t>таможенная стоимость, расходы на перевозку, импортируемые товары, статья 40 ТК ЕАЭС, статья 38 ТК ЕАЭС, доказательства транспортных расходов, дополнительные начисления, таможенное регулирование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Расходы на перевозку (транспортировку) импортируемых товаров по таможенной территории Союза могут подтверждаться различными доказательствами в зависимости от видов заключенных гражданско-правовых договоров и особенностей их условий, средств перевозки (транспортировки) товаров.</w:t>
      </w:r>
    </w:p>
    <w:p>
      <w:pPr>
        <w:widowControl/>
        <w:spacing w:after="280" w:line="312" w:lineRule="auto"/>
        <w:ind w:firstLine="567"/>
        <w:jc w:val="both"/>
      </w:pPr>
      <w:r>
        <w:rPr>
          <w:rFonts w:ascii="Inter" w:hAnsi="Inter"/>
          <w:color w:val="655D50"/>
          <w:sz w:val="24"/>
        </w:rPr>
        <w:t>Во исполнение внешнеторгового контракта, заключенного между обществом и иностранной компанией, на таможенную территорию ЕАЭС ввезены товары, таможенная стоимость которых определена с использованием метода по стоимости сделки с ввозимыми товарами. При этом заявлен вычет расходов на транспортировку товаров после их прибытия на территорию ЕАЭС. В представленных обществом заказах и инвойсах стоимость перевозки товаров выделена отдельно.</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принял решения о внесении изменений (дополнений) в сведения, указанные в декларациях, полагая, что заявленные к вычету из цены сделки расходы на транспортировку товаров документально не подтверждены ввиду непредставления декларантом договора перевозки (договора транспортной экспедиции) в отношении спорного товара.</w:t>
      </w:r>
    </w:p>
    <w:p>
      <w:pPr>
        <w:widowControl/>
        <w:spacing w:after="280" w:line="312" w:lineRule="auto"/>
        <w:ind w:firstLine="567"/>
        <w:jc w:val="both"/>
      </w:pPr>
      <w:r>
        <w:rPr>
          <w:rFonts w:ascii="Inter" w:hAnsi="Inter"/>
          <w:color w:val="655D50"/>
          <w:sz w:val="24"/>
        </w:rPr>
        <w:t>Не согласившись с решениями таможенного органа, общество обратилось в суд.</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заявления общества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не согласилась с выводами судов, признала незаконными и отменила решения таможенного органа в связи со следующим.</w:t>
      </w:r>
    </w:p>
    <w:p>
      <w:pPr>
        <w:widowControl/>
        <w:spacing w:after="280" w:line="312" w:lineRule="auto"/>
        <w:ind w:firstLine="567"/>
        <w:jc w:val="both"/>
      </w:pPr>
      <w:r>
        <w:rPr>
          <w:rFonts w:ascii="Inter" w:hAnsi="Inter"/>
          <w:color w:val="655D50"/>
          <w:sz w:val="24"/>
        </w:rPr>
        <w:t>В силу подпункта 2 пункта 2 статьи 40 ТК ЕАЭС таможенная стоимость ввозимых товаров не должна включать в себя расходы на перевозку (транспортировку) ввозимых товаров по таможенной территории Союза от места прибытия таких товаров на таможенную территорию Союза при условии, что эти расходы выделены из цены, фактически уплаченной или подлежащей уплате, заявлены декларантом и подтверждены им документально.</w:t>
      </w:r>
    </w:p>
    <w:p>
      <w:pPr>
        <w:widowControl/>
        <w:spacing w:after="280" w:line="312" w:lineRule="auto"/>
        <w:ind w:firstLine="567"/>
        <w:jc w:val="both"/>
      </w:pPr>
      <w:r>
        <w:rPr>
          <w:rFonts w:ascii="Inter" w:hAnsi="Inter"/>
          <w:color w:val="655D50"/>
          <w:sz w:val="24"/>
        </w:rPr>
        <w:t>Таможенное законодательство не содержит заранее установленного перечня документов, которые представляются при декларировании для целей подтверждения соблюдения условий, установленных подпунктом 2 пункта 2 статьи 40 ТК ЕАЭС.</w:t>
      </w:r>
    </w:p>
    <w:p>
      <w:pPr>
        <w:widowControl/>
        <w:spacing w:after="280" w:line="312" w:lineRule="auto"/>
        <w:ind w:firstLine="567"/>
        <w:jc w:val="both"/>
      </w:pPr>
      <w:r>
        <w:rPr>
          <w:rFonts w:ascii="Inter" w:hAnsi="Inter"/>
          <w:color w:val="655D50"/>
          <w:sz w:val="24"/>
        </w:rPr>
        <w:t>Соблюдение данных условий может подтверждаться различными доказательствами в зависимости от особенностей гражданско-правовых договоров, избранных поставщиком средств перевозки (транспортировки) товаров и т.п.</w:t>
      </w:r>
    </w:p>
    <w:p>
      <w:pPr>
        <w:widowControl/>
        <w:spacing w:after="280" w:line="312" w:lineRule="auto"/>
        <w:ind w:firstLine="567"/>
        <w:jc w:val="both"/>
      </w:pPr>
      <w:r>
        <w:rPr>
          <w:rFonts w:ascii="Inter" w:hAnsi="Inter"/>
          <w:color w:val="655D50"/>
          <w:sz w:val="24"/>
        </w:rPr>
        <w:t>С учетом положений пункта 1 статьи 38 ТК ЕАЭС предъявляемые к декларанту требования по подтверждению таможенной стоимости должны быть совместимы с коммерческой практикой (пункт 12 постановления Пленума № 49). В случае если у декларанта имелись объективные препятствия к представлению запрошенных документов (сведений) и соответствующие объяснения даны таможенному органу, непредставление указанных документов не может являться единственным основанием для перерасчета таможенной стоимости товара.</w:t>
      </w:r>
    </w:p>
    <w:p>
      <w:pPr>
        <w:widowControl/>
        <w:spacing w:after="280" w:line="312" w:lineRule="auto"/>
        <w:ind w:firstLine="567"/>
        <w:jc w:val="both"/>
      </w:pPr>
      <w:r>
        <w:rPr>
          <w:rFonts w:ascii="Inter" w:hAnsi="Inter"/>
          <w:color w:val="655D50"/>
          <w:sz w:val="24"/>
        </w:rPr>
        <w:t>Заключенный обществом внешнеэкономический контракт на условиях поставки DAP в соответствии с Международными правилами толкования торговых терминов «Инкотермс 2010» означает, что продавец передает товар, выпущенный в таможенном режиме экспорта, названному им перевозчику для перевозки товара до места назначения. Продавец обязан оплатить расходы и фрахт, необходимые для доставки товара в указанное место назначения. В соответствии с данными условиями поставки продавец должен нести все расходы и риски, связанные с доставкой товара до места назначения.</w:t>
      </w:r>
    </w:p>
    <w:p>
      <w:pPr>
        <w:widowControl/>
        <w:spacing w:after="280" w:line="312" w:lineRule="auto"/>
        <w:ind w:firstLine="567"/>
        <w:jc w:val="both"/>
      </w:pPr>
      <w:r>
        <w:rPr>
          <w:rFonts w:ascii="Inter" w:hAnsi="Inter"/>
          <w:color w:val="655D50"/>
          <w:sz w:val="24"/>
        </w:rPr>
        <w:t>В подтверждение таможенной стоимости товаров декларантом были представлены копии заказов, инвойсы, коносаменты, в которых стоимость перевозки до и после прибытия товаров на таможенную территорию ЕАЭС выделена отдельно. Обязанность поставщика по представлению покупателю иных документов контракт не содержит.</w:t>
      </w:r>
    </w:p>
    <w:p>
      <w:pPr>
        <w:widowControl/>
        <w:spacing w:after="280" w:line="312" w:lineRule="auto"/>
        <w:ind w:firstLine="567"/>
        <w:jc w:val="both"/>
      </w:pPr>
      <w:r>
        <w:rPr>
          <w:rFonts w:ascii="Inter" w:hAnsi="Inter"/>
          <w:color w:val="655D50"/>
          <w:sz w:val="24"/>
        </w:rPr>
        <w:t>Каких-либо доказательств, опровергающих соответствие действительности заявленных обществом сведений о расходах на перевозку (транспортировку) товаров, а также относимость этих расходов к задекларированным товарам, таможенным органом в ходе рассмотрения дела не представлено.</w:t>
      </w:r>
    </w:p>
    <w:p>
      <w:pPr>
        <w:widowControl/>
        <w:spacing w:after="280" w:line="312" w:lineRule="auto"/>
        <w:ind w:firstLine="567"/>
        <w:jc w:val="both"/>
      </w:pPr>
      <w:r>
        <w:rPr>
          <w:rFonts w:ascii="Inter" w:hAnsi="Inter"/>
          <w:color w:val="655D50"/>
          <w:sz w:val="24"/>
        </w:rPr>
        <w:t>При таких обстоятельствах произведенный таможенным органом расчет таможенной стоимости товаров на основе стоимости сделки с ввозимыми товарами без вычета расходов на перевозку (транспортировку) товаров после их прибытия на таможенную территорию Союза привел к произвольному определению таможенной стоимости поставленных товаров.</w:t>
      </w:r>
    </w:p>
    <w:p>
      <w:pPr>
        <w:widowControl/>
        <w:spacing w:after="280" w:line="312" w:lineRule="auto"/>
        <w:ind w:firstLine="567"/>
        <w:jc w:val="both"/>
      </w:pPr>
      <w:r>
        <w:rPr>
          <w:rFonts w:ascii="Inter" w:hAnsi="Inter"/>
          <w:color w:val="655D50"/>
          <w:sz w:val="24"/>
        </w:rPr>
        <w:t>Поскольку декларантом таможенному органу были представлены необходимые доказательства, подтверждающие обоснованность вычета расходов на транспортировку товаров после их прибытия на территорию ЕАЭС, заявление общества подлежит удовлетворению.</w:t>
      </w:r>
    </w:p>
    <w:p>
      <w:pPr>
        <w:widowControl/>
        <w:spacing w:after="280" w:line="312" w:lineRule="auto"/>
        <w:ind w:firstLine="567"/>
        <w:jc w:val="both"/>
      </w:pPr>
      <w:r>
        <w:rPr>
          <w:rFonts w:ascii="Inter" w:hAnsi="Inter"/>
          <w:color w:val="655D50"/>
          <w:sz w:val="24"/>
        </w:rPr>
        <w:t>В другом деле общество обратилось в суд с заявлением о признании незаконным решения таможенного органа, которым исключены заявленные декларантом вычеты расходов на транспортировку товаров после их прибытия на таможенную территорию Союза.</w:t>
      </w:r>
    </w:p>
    <w:p>
      <w:pPr>
        <w:widowControl/>
        <w:spacing w:after="280" w:line="312" w:lineRule="auto"/>
        <w:ind w:firstLine="567"/>
        <w:jc w:val="both"/>
      </w:pPr>
      <w:r>
        <w:rPr>
          <w:rFonts w:ascii="Inter" w:hAnsi="Inter"/>
          <w:color w:val="655D50"/>
          <w:sz w:val="24"/>
        </w:rPr>
        <w:t>Решением суда первой инстанции заявленные обществом требования удовлетворены. Суд исходил из того, что общество подтвердило заявленные вычеты, представив коммерческие инвойсы, в которых содержатся раздельные сведения о стоимости транспортных услуг по доставке груза на территорию Российской Федерации и вне территории Российской Федерации, приведены ставки на перевозку товаров.</w:t>
      </w:r>
    </w:p>
    <w:p>
      <w:pPr>
        <w:widowControl/>
        <w:spacing w:after="280" w:line="312" w:lineRule="auto"/>
        <w:ind w:firstLine="567"/>
        <w:jc w:val="both"/>
      </w:pPr>
      <w:r>
        <w:rPr>
          <w:rFonts w:ascii="Inter" w:hAnsi="Inter"/>
          <w:color w:val="655D50"/>
          <w:sz w:val="24"/>
        </w:rPr>
        <w:t>Суд апелляционной инстанции отменил решение суда первой инстанции и отказал в удовлетворении заявления общества, отметив, что расчет транспортных расходов в коммерческих инвойсах произведен самим иностранным поставщиком, однако в расчете отсутствуют ссылки на какие-либо доказательства того, кем и с учетом каких условий установлены тарифы, обозначенные продавцом.</w:t>
      </w:r>
    </w:p>
    <w:p>
      <w:pPr>
        <w:widowControl/>
        <w:spacing w:after="280" w:line="312" w:lineRule="auto"/>
        <w:ind w:firstLine="567"/>
        <w:jc w:val="both"/>
      </w:pPr>
      <w:r>
        <w:rPr>
          <w:rFonts w:ascii="Inter" w:hAnsi="Inter"/>
          <w:color w:val="655D50"/>
          <w:sz w:val="24"/>
        </w:rPr>
        <w:t>Суд кассационной инстанции отменил постановление суда апелляционной инстанции и оставил в силе решение суда первой инстанции.</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отметила следующее.</w:t>
      </w:r>
    </w:p>
    <w:p>
      <w:pPr>
        <w:widowControl/>
        <w:spacing w:after="280" w:line="312" w:lineRule="auto"/>
        <w:ind w:firstLine="567"/>
        <w:jc w:val="both"/>
      </w:pPr>
      <w:r>
        <w:rPr>
          <w:rFonts w:ascii="Inter" w:hAnsi="Inter"/>
          <w:color w:val="655D50"/>
          <w:sz w:val="24"/>
        </w:rPr>
        <w:t>Понятие «расходы на перевозку (транспортировку)» имеет автономное значение для целей главы 5 «Таможенная стоимость товаров» ТК ЕАЭС и охватывает затраты, отвечающие критерию связи с перемещением товаров. Вид гражданско-правового договора, в рамках исполнения которого понесены затраты (перевозки, транспортной экспедиции, агентирования, комиссии или др.), число привлеченных к перемещению товаров субъектов (перевозчики, экспедиторы, агенты и т.п.) и иные подобные обстоятельства юридического значения для целей таможенной оценки не имеют.</w:t>
      </w:r>
    </w:p>
    <w:p>
      <w:pPr>
        <w:widowControl/>
        <w:spacing w:after="280" w:line="312" w:lineRule="auto"/>
        <w:ind w:firstLine="567"/>
        <w:jc w:val="both"/>
      </w:pPr>
      <w:r>
        <w:rPr>
          <w:rFonts w:ascii="Inter" w:hAnsi="Inter"/>
          <w:color w:val="655D50"/>
          <w:sz w:val="24"/>
        </w:rPr>
        <w:t>В то же время представляемые документы во всяком случае должны отвечать требованиям, установленным пунктами 9−10, 13 статьи 38 ТК ЕАЭС, то есть исключать риски произвольного определения таможенной стоимости, выступая источником достоверной, количественно определяемой и документально подтвержденной информации, позволяя таможенному органу убедиться в ее соответствии действительности.</w:t>
      </w:r>
    </w:p>
    <w:p>
      <w:pPr>
        <w:widowControl/>
        <w:spacing w:after="280" w:line="312" w:lineRule="auto"/>
        <w:ind w:firstLine="567"/>
        <w:jc w:val="both"/>
      </w:pPr>
      <w:r>
        <w:rPr>
          <w:rFonts w:ascii="Inter" w:hAnsi="Inter"/>
          <w:color w:val="655D50"/>
          <w:sz w:val="24"/>
        </w:rPr>
        <w:t>В обоснование характера и размера расходов на перевозку (транспортировку) товаров общество представило только документы, выданные иностранным поставщиком, в том числе выставленные им инвойсы на товары. Документы, подтверждающие стоимость перевозки (транспортировки) задекларированных товаров, общество не представило, поскольку иностранная компания отказала в их передаче.</w:t>
      </w:r>
    </w:p>
    <w:p>
      <w:pPr>
        <w:widowControl/>
        <w:spacing w:after="280" w:line="312" w:lineRule="auto"/>
        <w:ind w:firstLine="567"/>
        <w:jc w:val="both"/>
      </w:pPr>
      <w:r>
        <w:rPr>
          <w:rFonts w:ascii="Inter" w:hAnsi="Inter"/>
          <w:color w:val="655D50"/>
          <w:sz w:val="24"/>
        </w:rPr>
        <w:t>Вместе с тем таможенным органом в ходе рассмотрения дела отмечалось, что иностранная компания и общество являются взаимосвязанными лицами по смыслу статьи 37 ТК ЕАЭС, о чем имеется указание в декларациях на товары. Ни декларант, ни взаимосвязанный с ним иностранный поставщик не раскрыли доказательства, подтверждающие действительное применение перевозчиками (экспедиторами) тех тарифов, с использованием которых в инвойсах поставщика была определена и указана стоимость расходов на перевозку (транспортировку) товаров.</w:t>
      </w:r>
    </w:p>
    <w:p>
      <w:pPr>
        <w:widowControl/>
        <w:spacing w:after="280" w:line="312" w:lineRule="auto"/>
        <w:ind w:firstLine="567"/>
        <w:jc w:val="both"/>
      </w:pPr>
      <w:r>
        <w:rPr>
          <w:rFonts w:ascii="Inter" w:hAnsi="Inter"/>
          <w:color w:val="655D50"/>
          <w:sz w:val="24"/>
        </w:rPr>
        <w:t>Приведенные доводы имели значение для правильного разрешения дела, поскольку в своей совокупности они могут указывать на произвольность заявленных в декларациях вычетов расходов на перевозку (транспортировку) и свидетельствовать о том, что своим поведением общество лишило таможенный орган возможности убедиться в достоверности и правильности применения названных вычетов, что несовместимо с положениями пунктов 9−10 и 13 статьи 38 ТК ЕАЭС.</w:t>
      </w:r>
    </w:p>
    <w:p>
      <w:pPr>
        <w:widowControl/>
        <w:spacing w:after="280" w:line="312" w:lineRule="auto"/>
        <w:ind w:firstLine="567"/>
        <w:jc w:val="both"/>
      </w:pPr>
      <w:r>
        <w:rPr>
          <w:rFonts w:ascii="Inter" w:hAnsi="Inter"/>
          <w:color w:val="655D50"/>
          <w:sz w:val="24"/>
        </w:rPr>
        <w:t>Поскольку судами не установлены обстоятельства, имеющие значение для оценки законности оспариваемого решения таможенного органа, дело направлено на новое рассмотрение.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6</dc:title>
  <dc:subject/>
  <dc:creator>CasusLegal</dc:creator>
  <cp:keywords/>
  <dc:description/>
  <cp:lastModifiedBy>CasusLegal</cp:lastModifiedBy>
  <cp:revision>1</cp:revision>
  <dcterms:created xsi:type="dcterms:W3CDTF">2026-07-21T21:47:11Z</dcterms:created>
  <dcterms:modified xsi:type="dcterms:W3CDTF">2026-07-21T21:47:11Z</dcterms:modified>
  <cp:category/>
</cp:coreProperties>
</file>