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5</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38 ТК ЕАЭС, ст. 23 ТК ЕАЭС</w:t>
      </w:r>
    </w:p>
    <w:p>
      <w:pPr>
        <w:spacing w:after="40"/>
      </w:pPr>
      <w:r>
        <w:rPr>
          <w:rFonts w:ascii="Inter" w:hAnsi="Inter"/>
          <w:b/>
          <w:color w:val="8B8171"/>
          <w:sz w:val="18"/>
        </w:rPr>
        <w:t xml:space="preserve">Теги: </w:t>
      </w:r>
      <w:r>
        <w:rPr>
          <w:rFonts w:ascii="Inter" w:hAnsi="Inter"/>
          <w:color w:val="655D50"/>
          <w:sz w:val="18"/>
        </w:rPr>
        <w:t>таможенная стоимость, экспортируемый товар, расходы на перевозку, статья 38 ТК ЕАЭС, статья 23 ТК ЕАЭС, вывозная таможенная стоимость, структура таможенной стоимости, таможенные платежи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Платежи иностранного покупателя за перевозку (транспортировку) товара по территории Российской Федерации включаются в таможенную стоимость экспортируемого товара, если они фактически представляют собой часть стоимости вывозимого товара.</w:t>
      </w:r>
    </w:p>
    <w:p>
      <w:pPr>
        <w:widowControl/>
        <w:spacing w:after="280" w:line="312" w:lineRule="auto"/>
        <w:ind w:firstLine="567"/>
        <w:jc w:val="both"/>
      </w:pPr>
      <w:r>
        <w:rPr>
          <w:rFonts w:ascii="Inter" w:hAnsi="Inter"/>
          <w:color w:val="655D50"/>
          <w:sz w:val="24"/>
        </w:rPr>
        <w:t>Общество осуществляло экспорт древесины на основании заключенных внешнеторговых контрактов и в качестве таможенной стоимости вывозимых товаров при их декларировании указало договорную цену древесины.</w:t>
      </w:r>
    </w:p>
    <w:p>
      <w:pPr>
        <w:widowControl/>
        <w:spacing w:after="280" w:line="312" w:lineRule="auto"/>
        <w:ind w:firstLine="567"/>
        <w:jc w:val="both"/>
      </w:pPr>
      <w:r>
        <w:rPr>
          <w:rFonts w:ascii="Inter" w:hAnsi="Inter"/>
          <w:color w:val="655D50"/>
          <w:sz w:val="24"/>
        </w:rPr>
        <w:t>Таможенным органом проведена внеплановая таможенная проверка, по результатам которой в таможенную стоимость включено агентское вознаграждение, полученное обществом от иностранного покупателя за осуществление поиска подвижного состава для доставки древесины от станции отгрузки до пограничной железнодорожной станции.</w:t>
      </w:r>
    </w:p>
    <w:p>
      <w:pPr>
        <w:widowControl/>
        <w:spacing w:after="280" w:line="312" w:lineRule="auto"/>
        <w:ind w:firstLine="567"/>
        <w:jc w:val="both"/>
      </w:pPr>
      <w:r>
        <w:rPr>
          <w:rFonts w:ascii="Inter" w:hAnsi="Inter"/>
          <w:color w:val="655D50"/>
          <w:sz w:val="24"/>
        </w:rPr>
        <w:t>Не согласившись с решением таможни в части включения в таможенную стоимость расходов на перевозку товаров по территории Российской Федерации, общество оспорило его в судебном порядке.</w:t>
      </w:r>
    </w:p>
    <w:p>
      <w:pPr>
        <w:widowControl/>
        <w:spacing w:after="280" w:line="312" w:lineRule="auto"/>
        <w:ind w:firstLine="567"/>
        <w:jc w:val="both"/>
      </w:pPr>
      <w:r>
        <w:rPr>
          <w:rFonts w:ascii="Inter" w:hAnsi="Inter"/>
          <w:color w:val="655D50"/>
          <w:sz w:val="24"/>
        </w:rPr>
        <w:t>Решением суда первой инстанции в удовлетворении заявленных обществом требований отказано. Суд апелляционной инстанции, с выводами которого согласился суд кассационной инстанции, отменил решение суда первой инстанции и удовлетворил заявление общества.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судов апелляционной и кассационной инстанций и оставляя в силе решение суда первой инстанции, обратила внимание на следующее.</w:t>
      </w:r>
    </w:p>
    <w:p>
      <w:pPr>
        <w:widowControl/>
        <w:spacing w:after="280" w:line="312" w:lineRule="auto"/>
        <w:ind w:firstLine="567"/>
        <w:jc w:val="both"/>
      </w:pPr>
      <w:r>
        <w:rPr>
          <w:rFonts w:ascii="Inter" w:hAnsi="Inter"/>
          <w:color w:val="655D50"/>
          <w:sz w:val="24"/>
        </w:rPr>
        <w:t>На основании пункта 4 статьи 38 ТК ЕАЭС таможенная стоимость товаров, вывозимых с таможенной территории Союза, определяется в соответствии с законодательством о таможенном регулировании государства − члена Союза, таможенному органу которого осуществляется таможенное декларирование товаров.</w:t>
      </w:r>
    </w:p>
    <w:p>
      <w:pPr>
        <w:widowControl/>
        <w:spacing w:after="280" w:line="312" w:lineRule="auto"/>
        <w:ind w:firstLine="567"/>
        <w:jc w:val="both"/>
      </w:pPr>
      <w:r>
        <w:rPr>
          <w:rFonts w:ascii="Inter" w:hAnsi="Inter"/>
          <w:color w:val="655D50"/>
          <w:sz w:val="24"/>
        </w:rPr>
        <w:t>Порядок определения таможенной стоимости товаров, вывозимых из Российской Федерации, устанавливает Правительство Российской Федерации (часть 2 статьи 23 Закона о таможенном регулировании).</w:t>
      </w:r>
    </w:p>
    <w:p>
      <w:pPr>
        <w:widowControl/>
        <w:spacing w:after="280" w:line="312" w:lineRule="auto"/>
        <w:ind w:firstLine="567"/>
        <w:jc w:val="both"/>
      </w:pPr>
      <w:r>
        <w:rPr>
          <w:rFonts w:ascii="Inter" w:hAnsi="Inter"/>
          <w:color w:val="655D50"/>
          <w:sz w:val="24"/>
        </w:rPr>
        <w:t>В соответствии с пунктами 8 и 12 Правил определения таможенной стоимости вывозимых товаров основой определения таможенной стоимости должна быть в максимально возможной степени стоимость сделки с этими товарами − цена, фактически уплаченная или подлежащая уплате за товары при их продаже на вывоз из Российской Федерации в страну назначения.</w:t>
      </w:r>
    </w:p>
    <w:p>
      <w:pPr>
        <w:widowControl/>
        <w:spacing w:after="280" w:line="312" w:lineRule="auto"/>
        <w:ind w:firstLine="567"/>
        <w:jc w:val="both"/>
      </w:pPr>
      <w:r>
        <w:rPr>
          <w:rFonts w:ascii="Inter" w:hAnsi="Inter"/>
          <w:color w:val="655D50"/>
          <w:sz w:val="24"/>
        </w:rPr>
        <w:t>Ценой, фактически уплаченной или подлежащей уплате за оцениваемые (вывозимые) товары, является общая сумма всех платежей за эти товары, осуществленных или подлежащих осуществлению покупателем непосредственно продавцу и (или) иному лицу в пользу продавца. Платежи могут быть осуществлены прямо или косвенно в любой форме (пункт 19 Правил определения таможенной стоимости вывозимых товаров).</w:t>
      </w:r>
    </w:p>
    <w:p>
      <w:pPr>
        <w:widowControl/>
        <w:spacing w:after="280" w:line="312" w:lineRule="auto"/>
        <w:ind w:firstLine="567"/>
        <w:jc w:val="both"/>
      </w:pPr>
      <w:r>
        <w:rPr>
          <w:rFonts w:ascii="Inter" w:hAnsi="Inter"/>
          <w:color w:val="655D50"/>
          <w:sz w:val="24"/>
        </w:rPr>
        <w:t>Исходя из приведенных положений цена, фактически уплаченная за вывозимый товар, включает открытый перечень платежей, осуществленных или подлежащих осуществлению в целях достижения конечного результата внешнеторговых сделок (экспорта товаров). Такие платежи считаются формирующими часть цены, используемой для таможенных целей, даже если в силу усмотрения участников оборота они не были включены в контрактную цену товаров.</w:t>
      </w:r>
    </w:p>
    <w:p>
      <w:pPr>
        <w:widowControl/>
        <w:spacing w:after="280" w:line="312" w:lineRule="auto"/>
        <w:ind w:firstLine="567"/>
        <w:jc w:val="both"/>
      </w:pPr>
      <w:r>
        <w:rPr>
          <w:rFonts w:ascii="Inter" w:hAnsi="Inter"/>
          <w:color w:val="655D50"/>
          <w:sz w:val="24"/>
        </w:rPr>
        <w:t>Расходы на перевозку (транспортировку) влияют на действительную стоимость перевозимых товаров и, соответственно, подлежат учету при их таможенной оценке как один из компонентов таможенной стоимости при ее определении первым методом (по стоимости сделки с вывозимыми товарами), если данные расходы, по сути, представляют собой часть цены товара, но не вошли в контрактную цену вследствие манипулирования отдельными компонентами стоимости сделки со стороны участников внешнеторгового оборота путем ее искусственного (экономически неоправданного) разделения между несколькими гражданско-правовыми договорами.</w:t>
      </w:r>
    </w:p>
    <w:p>
      <w:pPr>
        <w:widowControl/>
        <w:spacing w:after="280" w:line="312" w:lineRule="auto"/>
        <w:ind w:firstLine="567"/>
        <w:jc w:val="both"/>
      </w:pPr>
      <w:r>
        <w:rPr>
          <w:rFonts w:ascii="Inter" w:hAnsi="Inter"/>
          <w:color w:val="655D50"/>
          <w:sz w:val="24"/>
        </w:rPr>
        <w:t>В таком случае расходы на перевозку (транспортировку) экспортируемого товара должны рассматриваться как оплата стоимости самого товара, произведенная опосредованно (косвенный платеж).</w:t>
      </w:r>
    </w:p>
    <w:p>
      <w:pPr>
        <w:widowControl/>
        <w:spacing w:after="280" w:line="312" w:lineRule="auto"/>
        <w:ind w:firstLine="567"/>
        <w:jc w:val="both"/>
      </w:pPr>
      <w:r>
        <w:rPr>
          <w:rFonts w:ascii="Inter" w:hAnsi="Inter"/>
          <w:color w:val="655D50"/>
          <w:sz w:val="24"/>
        </w:rPr>
        <w:t>В рассматриваемом случае по всем декларациям на товары приемка товара по качеству осуществлена иностранным покупателем не в момент отгрузки лесопродукции на территории Российской Федерации, как это предусмотрено внешнеторговыми контрактами, а после убытия товара с таможенной территории. В платежных поручениях иностранных покупателей при перечислении оплаты по агентским договорам систематически указывались счета (инвойсы), выставленные обществом со ссылкой на внешнеторговые контракты по поставке лесопродукции.</w:t>
      </w:r>
    </w:p>
    <w:p>
      <w:pPr>
        <w:widowControl/>
        <w:spacing w:after="280" w:line="312" w:lineRule="auto"/>
        <w:ind w:firstLine="567"/>
        <w:jc w:val="both"/>
      </w:pPr>
      <w:r>
        <w:rPr>
          <w:rFonts w:ascii="Inter" w:hAnsi="Inter"/>
          <w:color w:val="655D50"/>
          <w:sz w:val="24"/>
        </w:rPr>
        <w:t>Иностранные покупатели производили оплату по агентским договорам обществу, которое номинально перестало быть собственником лесопродукции и формально получало оплату за перевозку чужих товаров, но при этом в действительности по своей экономической сути данные платежи представляли собой оплату за товары и, следовательно, подлежали включению в стоимость сделки для целей исчисления таможенной стоимости.</w:t>
      </w:r>
    </w:p>
    <w:p>
      <w:pPr>
        <w:widowControl/>
        <w:spacing w:after="280" w:line="312" w:lineRule="auto"/>
        <w:ind w:firstLine="567"/>
        <w:jc w:val="both"/>
      </w:pPr>
      <w:r>
        <w:rPr>
          <w:rFonts w:ascii="Inter" w:hAnsi="Inter"/>
          <w:color w:val="655D50"/>
          <w:sz w:val="24"/>
        </w:rPr>
        <w:t>В другом деле общество обратилось в суд с заявлением о признании незаконными решения таможенного органа в части включения в таможенную стоимость расходов на транспортировку товаров от станции отправления до морского порта на территории Российской Федерации.</w:t>
      </w:r>
    </w:p>
    <w:p>
      <w:pPr>
        <w:widowControl/>
        <w:spacing w:after="280" w:line="312" w:lineRule="auto"/>
        <w:ind w:firstLine="567"/>
        <w:jc w:val="both"/>
      </w:pPr>
      <w:r>
        <w:rPr>
          <w:rFonts w:ascii="Inter" w:hAnsi="Inter"/>
          <w:color w:val="655D50"/>
          <w:sz w:val="24"/>
        </w:rPr>
        <w:t>Решением суда первой инстанции заявленные требования удовлетворены. Постановлением суда апелляционной инстанции решение суда первой инстанции отменено, в удовлетворении заявления отказано.</w:t>
      </w:r>
    </w:p>
    <w:p>
      <w:pPr>
        <w:widowControl/>
        <w:spacing w:after="280" w:line="312" w:lineRule="auto"/>
        <w:ind w:firstLine="567"/>
        <w:jc w:val="both"/>
      </w:pPr>
      <w:r>
        <w:rPr>
          <w:rFonts w:ascii="Inter" w:hAnsi="Inter"/>
          <w:color w:val="655D50"/>
          <w:sz w:val="24"/>
        </w:rPr>
        <w:t>Отменяя постановление суда апелляционной инстанции и оставляя в силе решение суда первой инстанции, суд кассационной инстанции указал на следующее.</w:t>
      </w:r>
    </w:p>
    <w:p>
      <w:pPr>
        <w:widowControl/>
        <w:spacing w:after="280" w:line="312" w:lineRule="auto"/>
        <w:ind w:firstLine="567"/>
        <w:jc w:val="both"/>
      </w:pPr>
      <w:r>
        <w:rPr>
          <w:rFonts w:ascii="Inter" w:hAnsi="Inter"/>
          <w:color w:val="655D50"/>
          <w:sz w:val="24"/>
        </w:rPr>
        <w:t>Исходя из условий внешнеторговых контрактов, общество осуществляет экспорт металлопродукции иностранной компании, которая обязуется принимать, оплачивать и вывозить приобретенный товар за пределы таможенной территории Российской Федерации. По условиям контрактов право собственности на товар переходит в момент передачи перевозчику на железнодорожной станции отправления товара (базис поставки FCA в соответствии с Международными правилами толкования торговых терминов «Инкотермс 2010»).</w:t>
      </w:r>
    </w:p>
    <w:p>
      <w:pPr>
        <w:widowControl/>
        <w:spacing w:after="280" w:line="312" w:lineRule="auto"/>
        <w:ind w:firstLine="567"/>
        <w:jc w:val="both"/>
      </w:pPr>
      <w:r>
        <w:rPr>
          <w:rFonts w:ascii="Inter" w:hAnsi="Inter"/>
          <w:color w:val="655D50"/>
          <w:sz w:val="24"/>
        </w:rPr>
        <w:t>Квалифицирующий признак базиса поставки FCA заключается в том, что именно покупатель оплачивает транспортные расходы на доставку товара, а также принимает на себя риск случайной гибели в момент передачи товара перевозчику на станции отправления7.</w:t>
      </w:r>
    </w:p>
    <w:p>
      <w:pPr>
        <w:widowControl/>
        <w:spacing w:after="280" w:line="312" w:lineRule="auto"/>
        <w:ind w:firstLine="567"/>
        <w:jc w:val="both"/>
      </w:pPr>
      <w:r>
        <w:rPr>
          <w:rFonts w:ascii="Inter" w:hAnsi="Inter"/>
          <w:color w:val="655D50"/>
          <w:sz w:val="24"/>
        </w:rPr>
        <w:t>Материалами дела подтверждено, что при перемещении товара от железнодорожной станции до морского порта расходы на перевозку несла иностранная компания (покупатель) в пользу транспортной компании (экспедитора).</w:t>
      </w:r>
    </w:p>
    <w:p>
      <w:pPr>
        <w:widowControl/>
        <w:spacing w:after="280" w:line="312" w:lineRule="auto"/>
        <w:ind w:firstLine="567"/>
        <w:jc w:val="both"/>
      </w:pPr>
      <w:r>
        <w:rPr>
          <w:rFonts w:ascii="Inter" w:hAnsi="Inter"/>
          <w:color w:val="655D50"/>
          <w:sz w:val="24"/>
        </w:rPr>
        <w:t>Доказательств того, что фактические правоотношения сторон предполагали иное распределение обязательств по оплате доставки, а так же того, что условия поставки FCA избраны с целью сокрытия расходов на перевозку товара, суду представлено не было.</w:t>
      </w:r>
    </w:p>
    <w:p>
      <w:pPr>
        <w:widowControl/>
        <w:spacing w:after="280" w:line="312" w:lineRule="auto"/>
        <w:ind w:firstLine="567"/>
        <w:jc w:val="both"/>
      </w:pPr>
      <w:r>
        <w:rPr>
          <w:rFonts w:ascii="Inter" w:hAnsi="Inter"/>
          <w:color w:val="655D50"/>
          <w:sz w:val="24"/>
        </w:rPr>
        <w:t>При таких обстоятельствах суд кассационной инстанции пришел к выводу о необоснованности включения в таможенную стоимость расходов на транспортировку товаров от станции отправления до морского порта на территории 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5</dc:title>
  <dc:subject/>
  <dc:creator>CasusLegal</dc:creator>
  <cp:keywords/>
  <dc:description/>
  <cp:lastModifiedBy>CasusLegal</cp:lastModifiedBy>
  <cp:revision>1</cp:revision>
  <dcterms:created xsi:type="dcterms:W3CDTF">2026-07-21T21:43:45Z</dcterms:created>
  <dcterms:modified xsi:type="dcterms:W3CDTF">2026-07-21T21:43:45Z</dcterms:modified>
  <cp:category/>
</cp:coreProperties>
</file>