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drawing>
          <wp:inline xmlns:a="http://schemas.openxmlformats.org/drawingml/2006/main" xmlns:pic="http://schemas.openxmlformats.org/drawingml/2006/picture">
            <wp:extent cx="152400" cy="1524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LCluade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rFonts w:ascii="Cormorant Garamond" w:hAnsi="Cormorant Garamond"/>
          <w:b/>
          <w:color w:val="B63A26"/>
          <w:sz w:val="36"/>
        </w:rPr>
        <w:t>Casus</w:t>
      </w:r>
      <w:r>
        <w:rPr>
          <w:rFonts w:ascii="Cormorant Garamond" w:hAnsi="Cormorant Garamond"/>
          <w:b/>
          <w:color w:val="655D50"/>
          <w:sz w:val="36"/>
        </w:rPr>
        <w:t>Legal</w:t>
      </w:r>
    </w:p>
    <w:p>
      <w:pPr>
        <w:spacing w:before="160" w:after="120"/>
      </w:pPr>
      <w:r>
        <w:rPr>
          <w:rFonts w:ascii="Cormorant Garamond" w:hAnsi="Cormorant Garamond"/>
          <w:b/>
          <w:color w:val="3F3931"/>
          <w:sz w:val="28"/>
        </w:rPr>
        <w:t>Тематический обзор Верховного Суда Российской Федерации № 8/2026., п. 13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Суд: </w:t>
      </w:r>
      <w:r>
        <w:rPr>
          <w:rFonts w:ascii="Inter" w:hAnsi="Inter"/>
          <w:color w:val="655D50"/>
          <w:sz w:val="18"/>
        </w:rPr>
        <w:t>Верховный Суд РФ (Президиум, обзор)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Дата: </w:t>
      </w:r>
      <w:r>
        <w:rPr>
          <w:rFonts w:ascii="Inter" w:hAnsi="Inter"/>
          <w:color w:val="655D50"/>
          <w:sz w:val="18"/>
        </w:rPr>
        <w:t>17.06.2026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Номер дела: </w:t>
      </w:r>
      <w:r>
        <w:rPr>
          <w:rFonts w:ascii="Inter" w:hAnsi="Inter"/>
          <w:color w:val="655D50"/>
          <w:sz w:val="18"/>
        </w:rPr>
        <w:t>11А/2026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Применённые нормы: </w:t>
      </w:r>
      <w:r>
        <w:rPr>
          <w:rFonts w:ascii="Inter" w:hAnsi="Inter"/>
          <w:color w:val="655D50"/>
          <w:sz w:val="18"/>
        </w:rPr>
        <w:t>ст. 401 ГК РФ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Теги: </w:t>
      </w:r>
      <w:r>
        <w:rPr>
          <w:rFonts w:ascii="Inter" w:hAnsi="Inter"/>
          <w:color w:val="655D50"/>
          <w:sz w:val="18"/>
        </w:rPr>
        <w:t>ответственность брокера, освобождение от ответственности, санкции против российской биржи, ценные бумаги иностранных эмитентов, обстоятельства непреодолимой силы, статья 401 ГК РФ, брокерская деятельность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Позиция суда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Брокер может быть освобожден от ответственности за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неисполнение поручений клиента по распоряжению ценными бумагами иностранных эмитентов, если оно вызвано введением в отношении российской биржи санкционных ограничений, которые брокер объективно не мог предотвратить.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Брокером на основании поручений клиента совершено несколько сделок по приобретению на организованных российской биржей торгах ценных бумаг иностранных эмитентов. Впоследствии в отношении российской биржи иностранными государствами были введены санкционные ограничения, в связи с чем иностранные контрагенты в одностороннем порядке приостановили взаимодействие с российской биржей. С даты введения указанных ограничений российская биржа приостановила торги ценными бумагами иностранных эмитентов в связи с невозможностью проведения расчетов. Последующие поручения клиента о распоряжении ценными бумагами иностранных эмитентов не были исполнены. Ссылаясь на невозможность реализации прав на приобретенные ценные бумаги иностранных эмитентов, клиент обратился в арбитражный суд с иском к брокеру о возмещении убытков. Решением суда первой инстанции, оставленным без изменения постановлениями судов апелляционной и кассационной инстанций, в удовлетворении требований отказано по следующим основаниям. В силу абзаца 2 пункта 1 статьи 401 ГК РФ лицо признается невиновным, если при той степени заботливости и осмотрительности, какая от него требовалась по характеру обязательства и условиям оборота, оно приняло все меры для надлежащего исполнения обязательства. Должник может быть освобожден от ответственности, если докажет, что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 (пункт 3 статьи 401 ГК РФ). Судами установлено, что российская биржа незамедлительно после введения в отношении ее ограничений начала принимать меры по предотвращению потерь инвесторов, осуществлявших торговлю иностранными ценными бумагами через ее площадку. Приостановка торгов явилась мерой, направленной на защиту прав инвесторов, а блокировка иностранных активов вызвана недружественными действиями иностранных государств и организаций. Введение иностранным государством запретов и ограничений в области предпринимательской деятельности, а также иных ограничительных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и запретительных мер, действующих в отношении Российской Федерации или российских хозяйствующих субъектов, если такие меры повлияли на выполнение указанными лицами обязательств, может относиться к числу непредотвратимых обстоятельств. При этом санкции и меры ограничительного характера, принятые недружественными иностранными государствами, можно отнести к обстоятельствам непреодолимой силы только при условии, если кредитор докажет, что введенные ограничения объективно препятствуют исполнению обязательства. Брокером были представлены доказательства, свидетельствующие о том, что введение в отношении биржи санкционных ограничений являлось внешним и непредвидимым обстоятельством, объективно препятствующим исполнению поручений клиента по распоряжению ценными бумагами. В свою очередь, клиентом не представлено доказательств, указывающих на объективную возможность брокера исполнить поручения клиента иным образом, в обход введенных в отношении российской биржи ограничений. В соответствии с пунктом 9 постановления Пленума Верховного Суда Российской Федерации от 24 марта 2016 г. № 7 «О применении судами некоторых положений Гражданского кодекса Российской Федерации об ответственности за нарушение обязательств» (далее – постановление Пленума ВС РФ от 24 марта 2016 г. № 7) и пунктом 38 постановления Пленума Верховного Суда Российской Федерации от 11 июня 2020 г. № 6 «О некоторых вопросах применения положений Гражданского кодекса Российской Федерации о прекращении обязательств» (далее – постановление Пленума ВС РФ от 11 июня 2020 г. № 6) наступление обстоятельств непреодолимой силы само по себе не прекращает обязательство должника, если исполнение остается возможным после того, как они отпали. Сторона освобождается от возмещения убытков или уплаты другой стороне неустойки и иных санкций, вызванных просрочкой исполнения обязательства ввиду непреодолимой силы (статьи 401, 405, 406, 417 ГК РФ). Таким образом, введение в отношении биржи санкционных ограничений указывает на временную юридическую невозможность исполнения, которая не прекращает обязательство брокера исполнить поручение клиента, но освобождает его от обязанности возмещения клиенту убытков, уплаты неустойки и иных санкций, вызванных просрочкой исполнения, до отпадения обстоятельства, препятствующего исполнению. Следовательно, установив, что брокер не имел объективной возможности исполнить поручения клиента по распоряжению ценными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бумагами иностранных эмитентов после даты введения в отношении российской биржи ограничительных мер, суды обоснованно отказали клиенту в возмещении убытков.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Иные положения акта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"Тематический обзор Верховного Суда Российской Федерации № 8/2026. О применении арбитражными судами законодательства о специальных экономических мерах, предусмотренных в целях защиты национальных интересов Российской Федерации", п. 13</w:t>
      </w:r>
    </w:p>
    <w:p>
      <w:pPr>
        <w:spacing w:before="360"/>
      </w:pPr>
      <w:r>
        <w:rPr>
          <w:rFonts w:ascii="Inter" w:hAnsi="Inter"/>
          <w:i/>
          <w:color w:val="8B8171"/>
          <w:sz w:val="15"/>
        </w:rPr>
        <w:t>Документ сформирован сервисом CasusLegal на основе официального текста судебного акта. Для использования в процессуальных целях сверяйтесь с официальными источниками опубликования.</w:t>
      </w:r>
    </w:p>
    <w:sectPr w:rsidR="00FC693F" w:rsidRPr="0006063C" w:rsidSect="00034616">
      <w:footerReference w:type="default" r:id="rId10"/>
      <w:pgSz w:w="12240" w:h="15840"/>
      <w:pgMar w:top="1157" w:right="1134" w:bottom="1157" w:left="158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4762" w:val="center"/>
        <w:tab w:pos="9524" w:val="right"/>
      </w:tabs>
      <w:jc w:val="left"/>
    </w:pPr>
    <w:r>
      <w:tab/>
    </w:r>
    <w:hyperlink r:id="rId1">
      <w:r>
        <w:rPr>
          <w:rFonts w:ascii="Inter" w:hAnsi="Inter"/>
          <w:color w:val="B63A26"/>
          <w:sz w:val="16"/>
        </w:rPr>
        <w:t>@CasusLegalBot</w:t>
      </w:r>
    </w:hyperlink>
    <w:r>
      <w:tab/>
    </w:r>
    <w:r>
      <w:rPr>
        <w:rFonts w:ascii="Inter" w:hAnsi="Inter"/>
        <w:color w:val="8B8171"/>
        <w:sz w:val="24"/>
      </w:rP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/>
      <w:color w:val="655D50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t.me/CasusLegalB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CasusLegal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CasusLegal</Company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Тематический обзор Верховного Суда Российской Федерации № 8/2026., п. 13</dc:title>
  <dc:subject/>
  <dc:creator>CasusLegal</dc:creator>
  <cp:keywords/>
  <dc:description/>
  <cp:lastModifiedBy>CasusLegal</cp:lastModifiedBy>
  <cp:revision>1</cp:revision>
  <dcterms:created xsi:type="dcterms:W3CDTF">2026-08-16T11:30:44Z</dcterms:created>
  <dcterms:modified xsi:type="dcterms:W3CDTF">2026-08-16T11:30:44Z</dcterms:modified>
  <cp:category/>
</cp:coreProperties>
</file>