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Тематический обзор Верховного Суда Российской Федерации № 8/2026., п. 2</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17.06.2026</w:t>
      </w:r>
    </w:p>
    <w:p>
      <w:pPr>
        <w:spacing w:after="40"/>
      </w:pPr>
      <w:r>
        <w:rPr>
          <w:rFonts w:ascii="Inter" w:hAnsi="Inter"/>
          <w:b/>
          <w:color w:val="8B8171"/>
          <w:sz w:val="18"/>
        </w:rPr>
        <w:t xml:space="preserve">Номер дела: </w:t>
      </w:r>
      <w:r>
        <w:rPr>
          <w:rFonts w:ascii="Inter" w:hAnsi="Inter"/>
          <w:color w:val="655D50"/>
          <w:sz w:val="18"/>
        </w:rPr>
        <w:t>11А/2026</w:t>
      </w:r>
    </w:p>
    <w:p>
      <w:pPr>
        <w:spacing w:after="40"/>
      </w:pPr>
      <w:r>
        <w:rPr>
          <w:rFonts w:ascii="Inter" w:hAnsi="Inter"/>
          <w:b/>
          <w:color w:val="8B8171"/>
          <w:sz w:val="18"/>
        </w:rPr>
        <w:t xml:space="preserve">Применённые нормы: </w:t>
      </w:r>
      <w:r>
        <w:rPr>
          <w:rFonts w:ascii="Inter" w:hAnsi="Inter"/>
          <w:color w:val="655D50"/>
          <w:sz w:val="18"/>
        </w:rPr>
        <w:t>ст. 168 ГК РФ, Федеральный закон № 57-ФЗ</w:t>
      </w:r>
    </w:p>
    <w:p>
      <w:pPr>
        <w:spacing w:after="40"/>
      </w:pPr>
      <w:r>
        <w:rPr>
          <w:rFonts w:ascii="Inter" w:hAnsi="Inter"/>
          <w:b/>
          <w:color w:val="8B8171"/>
          <w:sz w:val="18"/>
        </w:rPr>
        <w:t xml:space="preserve">Теги: </w:t>
      </w:r>
      <w:r>
        <w:rPr>
          <w:rFonts w:ascii="Inter" w:hAnsi="Inter"/>
          <w:color w:val="655D50"/>
          <w:sz w:val="18"/>
        </w:rPr>
        <w:t>иностранный контроль над стратегическим предприятием, согласование Правительственной комиссии, ничтожность сделки, хозяйственное общество стратегического значения, Федеральный закон № 57-ФЗ, статья 168 ГК РФ, иностранные инвестиции, специальные экономические меры</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Сделка, направленная на установление иностранного контроля над стратегическим предприятием, заключенная без согласования Правительственной комиссии по контролю за осуществлением иностранных инвестиций в Российской Федерации, является ничтожной.</w:t>
      </w:r>
    </w:p>
    <w:p>
      <w:pPr>
        <w:widowControl/>
        <w:spacing w:after="280" w:line="312" w:lineRule="auto"/>
        <w:ind w:firstLine="567"/>
        <w:jc w:val="both"/>
      </w:pPr>
      <w:r>
        <w:rPr>
          <w:rFonts w:ascii="Inter" w:hAnsi="Inter"/>
          <w:color w:val="655D50"/>
          <w:sz w:val="24"/>
        </w:rPr>
        <w:t>Между обществом (продавец) и компанией (покупатель) заключен договор купли-продажи обыкновенных акций порта.</w:t>
      </w:r>
    </w:p>
    <w:p>
      <w:pPr>
        <w:widowControl/>
        <w:spacing w:after="280" w:line="312" w:lineRule="auto"/>
        <w:ind w:firstLine="567"/>
        <w:jc w:val="both"/>
      </w:pPr>
      <w:r>
        <w:rPr>
          <w:rFonts w:ascii="Inter" w:hAnsi="Inter"/>
          <w:color w:val="655D50"/>
          <w:sz w:val="24"/>
        </w:rPr>
        <w:t>Ссылаясь на то, что данная сделка совершена с нарушением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(далее – Закон об иностранных инвестициях), заместитель Генерального прокурора Российской Федерации обратился в арбитражный суд с требованиями о признании договора ничтожным и применении последствий недействительности сделки. В обоснование иска указано на то, что группой лиц с участием иностранного инвестора путем сокрытия от уполномоченных органов Российской Федерации факта сделки, контролирующих лиц, бенефициарных владельцев и выгодоприобретателей незаконно приобретены акции имеющего стратегическое значение для Российской Федерации порта и получен контроль нерезидентов над ним. Федеральной антимонопольной службой отмечено, что последовательное приобретение компанией и рядом физических лиц 46,5 % акций порта позволяет им под видом законного участия в деятельности общества получать данные о динамике грузооборота Российской Федерации, номенклатуре товаров, переваливаемых через порт, что напрямую влияет на продовольственную, энергетическую и военную безопасность эксклавного субъекта Российской Федерации. При этом государство, на территории которого зарегистрирована компания, отнесена к перечню иностранных государств, совершающих в отношении Российской Федерации, российских юридических и физических лиц недружественные действия. Решением суда первой инстанции, оставленным без изменения постановлениями судов апелляционной и кассационной инстанций, заявленные требования удовлетворены по следующим основаниям. Подпунктом «г» пункта 37 статьи 6 Закона об иностранных инвестициях к видам деятельности, имеющим стратегическое значение для обеспечения обороны страны и безопасности государства, отнесено оказание услуг в портах Российской Федерации хозяйствующим субъектом, занимающим доминирующее положение. Из материалов дела следует, что компания зарегистрирована в иностранном государстве, признанном недружественным. В связи с этим компания по смыслу пункта 1 части 2 статьи 3 Закона об иностранных инвестициях относится к иностранным инвесторам. Согласно пункту 5 части 1 статьи 7 Закона об иностранных инвестициях к сделкам, подлежащим предварительному согласованию в</w:t>
      </w:r>
    </w:p>
    <w:p>
      <w:pPr>
        <w:widowControl/>
        <w:spacing w:after="280" w:line="312" w:lineRule="auto"/>
        <w:ind w:firstLine="567"/>
        <w:jc w:val="both"/>
      </w:pPr>
      <w:r>
        <w:rPr>
          <w:rFonts w:ascii="Inter" w:hAnsi="Inter"/>
          <w:color w:val="655D50"/>
          <w:sz w:val="24"/>
        </w:rPr>
        <w:t>соответствии с названным федеральным законом, относятся сделки, направленные на приобретение иностранным инвестором, не представляющим информации, или находящейся под их контролем организацией права прямо или косвенно распоряжаться более чем двадцатью пятью процентами общего количества голосов, приходящихся на голосующие акции (доли), составляющие уставный капитал хозяйственного общества, имеющего стратегическое значение (в том числе с учетом временно переданного иному лицу (иным лицам) права распоряжаться голосами, приходящимися на голосующие акции (доли), составляющие уставный капитал указанного общества, на основании договора доверительного управления имуществом, договора залога, договора репо, обеспечительного платежа, иного соглашения или сделки), или иной возможности блокировать решения органов управления такого хозяйственного общества. В нарушение требований Закона об иностранных инвестициях компания не обращалась в уполномоченный орган и Правительственную комиссию по контролю за осуществлением иностранных инвестиций в Российской Федерации с ходатайством о предварительном согласовании сделки по приобретению акций порта, предоставляющих право распоряжаться более чем двадцатью пятью процентами общего количества голосов, приходящихся на голосующие акции, составляющие уставный капитал порта, являющегося обществом, имеющим стратегическое значение. В соответствии с частью 1 статьи 15 Закона об иностранных инвестициях сделки, указанные в статье 7 названного закона и совершенные с нарушением его требований, ничтожны. Следовательно, договор купли-продажи акций как сделка, направленная на увеличение контроля над портом со стороны иностранного инвестора, является ничтожной (часть 1 статьи 15 Закона об иностранных инвестициях, статья 169 ГК РФ), поскольку не была предварительно согласована в установленном порядке. При этом в силу части 11 статьи 15 Закона об иностранных инвестициях суд, применяя последствия недействительности сделки, вправе в том числе взыскать в доход Российской Федерации приобретенные в результате совершения ничтожной сделки сторонами, действовавшими умышленно, акции (доли), составляющие уставный капитал хозяйственного общества, имеющего стратегическое значение, либо приобретенное в результате совершения ничтожной сделки сторонами, действовавшими умышленно, имущество, которое относится к основным производственным</w:t>
      </w:r>
    </w:p>
    <w:p>
      <w:pPr>
        <w:widowControl/>
        <w:spacing w:after="280" w:line="312" w:lineRule="auto"/>
        <w:ind w:firstLine="567"/>
        <w:jc w:val="both"/>
      </w:pPr>
      <w:r>
        <w:rPr>
          <w:rFonts w:ascii="Inter" w:hAnsi="Inter"/>
          <w:color w:val="655D50"/>
          <w:sz w:val="24"/>
        </w:rPr>
        <w:t>средствам хозяйственного общества, имеющего стратегическое значение, а также взыскать в доход Российской Федерации доходы, полученные в результате совершения ничтожной сделки сторонами, действовавшими умышленно. В связи с этим суды пришли к выводу о допустимости обращения приобретенных по спорной сделке акций в доход 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"Тематический обзор Верховного Суда Российской Федерации № 8/2026. О применении арбитражными судами законодательства о специальных экономических мерах, предусмотренных в целях защиты национальных интересов Российской Федерации", п. 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Тематический обзор Верховного Суда Российской Федерации № 8/2026., п. 2</dc:title>
  <dc:subject/>
  <dc:creator>CasusLegal</dc:creator>
  <cp:keywords/>
  <dc:description/>
  <cp:lastModifiedBy>CasusLegal</cp:lastModifiedBy>
  <cp:revision>1</cp:revision>
  <dcterms:created xsi:type="dcterms:W3CDTF">2026-08-16T11:29:19Z</dcterms:created>
  <dcterms:modified xsi:type="dcterms:W3CDTF">2026-08-16T11:29:19Z</dcterms:modified>
  <cp:category/>
</cp:coreProperties>
</file>