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Тематический обзор Верховного Суда Российской Федерации № 8/2026., п. 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17.06.2026</w:t>
      </w:r>
    </w:p>
    <w:p>
      <w:pPr>
        <w:spacing w:after="40"/>
      </w:pPr>
      <w:r>
        <w:rPr>
          <w:rFonts w:ascii="Inter" w:hAnsi="Inter"/>
          <w:b/>
          <w:color w:val="8B8171"/>
          <w:sz w:val="18"/>
        </w:rPr>
        <w:t xml:space="preserve">Номер дела: </w:t>
      </w:r>
      <w:r>
        <w:rPr>
          <w:rFonts w:ascii="Inter" w:hAnsi="Inter"/>
          <w:color w:val="655D50"/>
          <w:sz w:val="18"/>
        </w:rPr>
        <w:t>11А/2026</w:t>
      </w:r>
    </w:p>
    <w:p>
      <w:pPr>
        <w:spacing w:after="40"/>
      </w:pPr>
      <w:r>
        <w:rPr>
          <w:rFonts w:ascii="Inter" w:hAnsi="Inter"/>
          <w:b/>
          <w:color w:val="8B8171"/>
          <w:sz w:val="18"/>
        </w:rPr>
        <w:t xml:space="preserve">Применённые нормы: </w:t>
      </w:r>
      <w:r>
        <w:rPr>
          <w:rFonts w:ascii="Inter" w:hAnsi="Inter"/>
          <w:color w:val="655D50"/>
          <w:sz w:val="18"/>
        </w:rPr>
        <w:t>п. 2 ст. 168 ГК РФ, ст. 167 ГК РФ</w:t>
      </w:r>
    </w:p>
    <w:p>
      <w:pPr>
        <w:spacing w:after="40"/>
      </w:pPr>
      <w:r>
        <w:rPr>
          <w:rFonts w:ascii="Inter" w:hAnsi="Inter"/>
          <w:b/>
          <w:color w:val="8B8171"/>
          <w:sz w:val="18"/>
        </w:rPr>
        <w:t xml:space="preserve">Теги: </w:t>
      </w:r>
      <w:r>
        <w:rPr>
          <w:rFonts w:ascii="Inter" w:hAnsi="Inter"/>
          <w:color w:val="655D50"/>
          <w:sz w:val="18"/>
        </w:rPr>
        <w:t>специальные экономические меры, разрешение Правительственной комиссии, сделка с лицом, подконтрольным иностранному лицу, договор купли-продажи недвижимости, ничтожность сделки, статья 168 ГК РФ, иностранные инвестиции, недружественные государства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Договор купли-продажи находящегося на территории Российской Федерации недвижимого имущества, заключенный с российским лицом, подконтрольным иностранному лицу, без разрешения Правительственной комиссии по контролю за осуществлением иностранных инвестиций в Российской Федерации является ничтожным на основании пункта 2 статьи 168 Гражданского кодекса Российской Федерации</w:t>
      </w:r>
    </w:p>
    <w:p>
      <w:pPr>
        <w:widowControl/>
        <w:spacing w:after="280" w:line="312" w:lineRule="auto"/>
        <w:ind w:firstLine="567"/>
        <w:jc w:val="both"/>
      </w:pPr>
      <w:r>
        <w:rPr>
          <w:rFonts w:ascii="Inter" w:hAnsi="Inter"/>
          <w:color w:val="655D50"/>
          <w:sz w:val="24"/>
        </w:rPr>
        <w:t>Между обществом и предпринимателем заключен договор куплипродажи объектов недвижимого имущества.</w:t>
      </w:r>
    </w:p>
    <w:p>
      <w:pPr>
        <w:widowControl/>
        <w:spacing w:after="280" w:line="312" w:lineRule="auto"/>
        <w:ind w:firstLine="567"/>
        <w:jc w:val="both"/>
      </w:pPr>
      <w:r>
        <w:rPr>
          <w:rFonts w:ascii="Inter" w:hAnsi="Inter"/>
          <w:color w:val="655D50"/>
          <w:sz w:val="24"/>
        </w:rPr>
        <w:t>Общество является российским юридическим лицом, единственным участником которого на момент совершения оспариваемой сделки было юридическое лицо, созданное в соответствии с законодательством иностранного государства, признанного недружественным. Впоследствии общество обратилось в арбитражный суд с иском о признании данного договора недействительным на основании пункта 2 статьи 168 Гражданского кодекса Российской Федерации (далее – ГК РФ), ссылаясь на то, что при совершении сделки не соблюдены требования Указа Президента Российской Федерации от 1 марта 2022 г. № 81 «О дополнительных временных мерах экономического характера по обеспечению финансовой стабильности Российской Федерации» (далее– Указ Президента Российской Федерации № 81), постановления Правительства Российской Федерации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в целях реализации дополнительных временных мер экономического характера по обеспечению финансовой стабильности Российской Федерации и иных разрешений, предусмотренных отдельными указами Президента Российской Федерации, а также реализации иных полномочий в указанных целях и внесении изменения в Положение о Правительственной комиссии по контролю за осуществлением иностранных инвестиций в Российской Федерации». Отказывая в удовлетворении требований, суд первой инстанции пришел к выводу, что оплата по спорному договору между предпринимателем и обществом на территории Российской Федерации произведена на счет продавца. Доказательств того, что данные денежные средства впоследствии были выведены на счет учредителя – иностранного лица, истцом не представлено. Суд апелляционной инстанции отменил решение суда первой инстанции по следующим основаниям. С 2 марта 2022 г. установлен особый порядок осуществления (исполнения) резидентами сделок, касающихся реализации прав на недвижимое имущество, с иностранными лицами, связанными с иностранными государствами, которые совершают в отношении российских юридических и физических лиц недружественные действия, и с лицами, которые находятся под контролем указанных иностранных лиц, независимо от места их регистрации или места преимущественного ведения ими хозяйственной деятельности. Указанные сделки могут осуществляться</w:t>
      </w:r>
    </w:p>
    <w:p>
      <w:pPr>
        <w:widowControl/>
        <w:spacing w:after="280" w:line="312" w:lineRule="auto"/>
        <w:ind w:firstLine="567"/>
        <w:jc w:val="both"/>
      </w:pPr>
      <w:r>
        <w:rPr>
          <w:rFonts w:ascii="Inter" w:hAnsi="Inter"/>
          <w:color w:val="655D50"/>
          <w:sz w:val="24"/>
        </w:rPr>
        <w:t>(исполняться) на основании решений, выдаваемых Правительственной комиссией по контролю за осуществлением иностранных инвестиций в Российской Федерации (Указ Президента Российской Федерации № 81). В соответствии с пунктом 1 Официального разъяснения Банка России от 2 июня 2023 г. № 3-ОР1 лицо считается находящимся под контролем при наличии одного из признаков, указанных в частях 121 статьи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Закон об иностранных инвестициях). Согласно части 1 статьи 5 Закона об иностранных инвестициях хозяйственное общество считается подконтрольным иностранному лицу, в частности, если контролирующее лицо имеет право прямо или косвенно распоряжаться более чем 50 % общего количества голосов, приходящихся на голосующие акции (доли), составляющие уставный капитал контролируемого лица. В данном случае 100 % долей в уставном капитале общества на момент совершения оспариваемой сделки принадлежало юридическому лицу, созданному в соответствии с законодательством иностранного государства, признанного недружественным. Следовательно, общество являлось лицом, связанным с иностранным государством, которое совершает в отношении Российской Федерации недружественные действия. Однако указанный императивный порядок заключения сделки и ее исполнения не был соблюден сторонами. В соответствии с пунктом 2 статьи 168 ГК РФ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w:t>
      </w:r>
    </w:p>
    <w:p>
      <w:pPr>
        <w:widowControl/>
        <w:spacing w:after="280" w:line="312" w:lineRule="auto"/>
        <w:ind w:firstLine="567"/>
        <w:jc w:val="both"/>
      </w:pPr>
      <w:r>
        <w:rPr>
          <w:rFonts w:ascii="Inter" w:hAnsi="Inter"/>
          <w:color w:val="655D50"/>
          <w:sz w:val="24"/>
        </w:rPr>
        <w:t>Официальное разъяснение Банка России от 2 июня 2023 г. № 3-ОР «О применении отдельных положений Указа Президента Российской Федерации от 1 марта 2022 года № 81 «О дополнительных временных мерах экономического характера по обеспечению финансовой стабильности Российской Федерации», Указа Президента Российской Федерации от 5 марта 2022 года № 95 «О временном порядке исполнения обязательств перед некоторыми иностранными кредиторами», Указа Президента Российской Федерации от 4 мая 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Российской Федерации от 15 октября 2022 года № 737 «О некоторых вопросах осуществления (исполнения) отдельных видов сделок (операций)»,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w:t>
      </w:r>
    </w:p>
    <w:p>
      <w:pPr>
        <w:widowControl/>
        <w:spacing w:after="280" w:line="312" w:lineRule="auto"/>
        <w:ind w:firstLine="567"/>
        <w:jc w:val="both"/>
      </w:pPr>
      <w:r>
        <w:rPr>
          <w:rFonts w:ascii="Inter" w:hAnsi="Inter"/>
          <w:color w:val="655D50"/>
          <w:sz w:val="24"/>
        </w:rPr>
        <w:t>недействительностью сделки. Применительно к статьям 166 и 168 ГК РФ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 (пункт 75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ВС РФ от 23 июня 2015 г. № 25). Заключение договора купли-продажи недвижимого имущества между обществом и предпринимателем и осуществление расчетов в обход специального порядка в данном случае противоречат задачам обеспечения финансовой стабильности Российский Федерации и контроля за оборотом активов иностранных лиц, связанных с недружественными государствами. В связи с изложенным указанный договор является ничтожным на основании пункта 2 статьи 168 ГК РФ как нарушающий требования закона и правовых актов, действующих на момент его совершения, и при этом посягающий на публичные интересы. В силу требований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Следовательно, в порядке двусторонней реституции ответчик должен возвратить истцу имущество, полученное по договору, а истец – денежные средства, полученные в качестве оплаты за проданное имущество.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"Тематический обзор Верховного Суда Российской Федерации № 8/2026. О применении арбитражными судами законодательства о специальных экономических мерах, предусмотренных в целях защиты национальных интересов Российской Федерации", п. 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обзор Верховного Суда Российской Федерации № 8/2026., п. 1</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