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применения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п. 29</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28.06.2017</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28.06.2017</w:t>
      </w:r>
    </w:p>
    <w:p>
      <w:pPr>
        <w:spacing w:after="40"/>
      </w:pPr>
      <w:r>
        <w:rPr>
          <w:rFonts w:ascii="Inter" w:hAnsi="Inter"/>
          <w:b/>
          <w:color w:val="8B8171"/>
          <w:sz w:val="18"/>
        </w:rPr>
        <w:t xml:space="preserve">Применённые нормы: </w:t>
      </w:r>
      <w:r>
        <w:rPr>
          <w:rFonts w:ascii="Inter" w:hAnsi="Inter"/>
          <w:color w:val="655D50"/>
          <w:sz w:val="18"/>
        </w:rPr>
        <w:t>ст. 1102 ГК РФ, ст. 333 ГК РФ, ст. 381.1 ГК РФ</w:t>
      </w:r>
    </w:p>
    <w:p>
      <w:pPr>
        <w:spacing w:after="40"/>
      </w:pPr>
      <w:r>
        <w:rPr>
          <w:rFonts w:ascii="Inter" w:hAnsi="Inter"/>
          <w:b/>
          <w:color w:val="8B8171"/>
          <w:sz w:val="18"/>
        </w:rPr>
        <w:t xml:space="preserve">Теги: </w:t>
      </w:r>
      <w:r>
        <w:rPr>
          <w:rFonts w:ascii="Inter" w:hAnsi="Inter"/>
          <w:color w:val="655D50"/>
          <w:sz w:val="18"/>
        </w:rPr>
        <w:t>Закон о контрактной системе, ст. 381.1 ГК РФ, обеспечительный платёж, неосновательное обогащение, ст. 1102 ГК РФ, неустойка, ст. 333 ГК РФ, п. 6 ст. 96 Закона № 44-ФЗ, государственный контракт, просрочка исполнения</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В случае исполнения контракта с просрочкой обеспечительный платеж удерживается заказчиком в размере, равном размеру имущественных требований заказчика к исполнителю, если иное не предусмотрено контрактом. Сумма денежных средств, превышающая указанный размер, подлежит взысканию с заказчика в качестве неосновательного обогащения.</w:t>
      </w:r>
    </w:p>
    <w:p>
      <w:pPr>
        <w:widowControl/>
        <w:spacing w:after="280" w:line="312" w:lineRule="auto"/>
        <w:ind w:firstLine="567"/>
        <w:jc w:val="both"/>
      </w:pPr>
      <w:r>
        <w:rPr>
          <w:rFonts w:ascii="Inter" w:hAnsi="Inter"/>
          <w:color w:val="655D50"/>
          <w:sz w:val="24"/>
        </w:rPr>
        <w:t>Общество (поставщик) обратилось в арбитражный суд с иском к учреждению (заказчик) о взыскании денежных средств, уплаченных в качестве обеспечения исполнения государственного контракта. Возражая против удовлетворения заявленных требований, учреждение ссылалось на нарушение поставщиком сроков поставки, что явилось существенным нарушением условий договора и дает основания для удержания заказчиком обеспечительного платежа в полном объеме.</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исковые требования удовлетворены. Суды отметили, что размер обеспечения исполнения контракта в силу пункта 6 статьи 96 и пункта 1 статьи 37 Закона о контрактной системе устанавливается в процентах в зависимости от начальной (максимальной) цены контракта и, соответственно, не может обеспечивать исполнение акцессорного обеспечительного обязательства по уплате неустойки.</w:t>
      </w:r>
    </w:p>
    <w:p>
      <w:pPr>
        <w:widowControl/>
        <w:spacing w:after="280" w:line="312" w:lineRule="auto"/>
        <w:ind w:firstLine="567"/>
        <w:jc w:val="both"/>
      </w:pPr>
      <w:r>
        <w:rPr>
          <w:rFonts w:ascii="Inter" w:hAnsi="Inter"/>
          <w:color w:val="655D50"/>
          <w:sz w:val="24"/>
        </w:rPr>
        <w:t>Отменяя решение суда первой инстанции и постановление суда апелляционной инстанции, арбитражный суд округа удовлетворил исковые требования в части. Суд подчеркнул, что установление требования об обеспечении исполнения государственного контракта служит средством минимизации рисков неисполнения или ненадлежащего исполнения поставщиком (подрядчиком) своих обязательств по контракту, обеспечение исполнения контракта призвано обеспечить обязательства контрагента, вытекающие из контракта, а также обязанности, связанные с нарушением условий контракта, и упростить процедуру удовлетворения за счет суммы обеспечения требований заказчика к контрагенту.</w:t>
      </w:r>
    </w:p>
    <w:p>
      <w:pPr>
        <w:widowControl/>
        <w:spacing w:after="280" w:line="312" w:lineRule="auto"/>
        <w:ind w:firstLine="567"/>
        <w:jc w:val="both"/>
      </w:pPr>
      <w:r>
        <w:rPr>
          <w:rFonts w:ascii="Inter" w:hAnsi="Inter"/>
          <w:color w:val="655D50"/>
          <w:sz w:val="24"/>
        </w:rPr>
        <w:t>Вносимые исполнителем денежные средства как обеспечительный платеж обеспечивают в том числе исполнение денежного обязательства по уплате неустойки (часть 1 статьи 2 Закона о контрактной системе, пункт 1 статьи 381.1 ГК РФ). При этом по смыслу положений пунктов 1 и 2 статьи 381.1 ГК РФ, статей 94, 96 Закона о контрактной системе размер суммы удерживаемого обеспечения напрямую взаимосвязан с размером имеющихся у заказчика конкретных требований к исполнителю (поставщику, подрядчику), поскольку внесенные исполнителем денежные средства должны обеспечивать требование в том объеме, какое оно имеет к моменту удовлетворения.</w:t>
      </w:r>
    </w:p>
    <w:p>
      <w:pPr>
        <w:widowControl/>
        <w:spacing w:after="280" w:line="312" w:lineRule="auto"/>
        <w:ind w:firstLine="567"/>
        <w:jc w:val="both"/>
      </w:pPr>
      <w:r>
        <w:rPr>
          <w:rFonts w:ascii="Inter" w:hAnsi="Inter"/>
          <w:color w:val="655D50"/>
          <w:sz w:val="24"/>
        </w:rPr>
        <w:t>Поскольку, как установлено судами, поставщиком обязательства исполнены с просрочкой, неустойка в добровольном порядке не уплачена, то учреждение вправе удержать часть денежных средств в размере неустойки, подлежащей взысканию. Это, как отметил арбитражный суд округа, не лишает исполнителя права заявлять требование о применении к удержанным денежным средствам статьи 333 ГК РФ.</w:t>
      </w:r>
    </w:p>
    <w:p>
      <w:pPr>
        <w:widowControl/>
        <w:spacing w:after="280" w:line="312" w:lineRule="auto"/>
        <w:ind w:firstLine="567"/>
        <w:jc w:val="both"/>
      </w:pPr>
      <w:r>
        <w:rPr>
          <w:rFonts w:ascii="Inter" w:hAnsi="Inter"/>
          <w:color w:val="655D50"/>
          <w:sz w:val="24"/>
        </w:rPr>
        <w:t>Кроме того, ни нормами ГК РФ, ни нормами Закона о контрактной системе, ни контрактом не предусмотрена возможность удержания денежных средств в большей сумме, чем сумма фактически начисленной неустойки, и у судов первой и апелляционной инстанций не имелось оснований для отказа в удовлетворении требований о взыскании оставшейся части суммы обеспечительного платежа. Иное понимание приводит к неосновательному обогащению заказчика (статья 1102 ГК РФ) и противоречит компенсационному характеру гражданской ответственности.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применения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 29</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применения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п. 29</dc:title>
  <dc:subject/>
  <dc:creator>CasusLegal</dc:creator>
  <cp:keywords/>
  <dc:description/>
  <cp:lastModifiedBy>CasusLegal</cp:lastModifiedBy>
  <cp:revision>1</cp:revision>
  <dcterms:created xsi:type="dcterms:W3CDTF">2026-08-16T11:33:13Z</dcterms:created>
  <dcterms:modified xsi:type="dcterms:W3CDTF">2026-08-16T11:33:13Z</dcterms:modified>
  <cp:category/>
</cp:coreProperties>
</file>