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п. 11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29.01.2020</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29.01.2020</w:t>
      </w:r>
    </w:p>
    <w:p>
      <w:pPr>
        <w:spacing w:after="40"/>
      </w:pPr>
      <w:r>
        <w:rPr>
          <w:rFonts w:ascii="Inter" w:hAnsi="Inter"/>
          <w:b/>
          <w:color w:val="8B8171"/>
          <w:sz w:val="18"/>
        </w:rPr>
        <w:t xml:space="preserve">Теги: </w:t>
      </w:r>
      <w:r>
        <w:rPr>
          <w:rFonts w:ascii="Inter" w:hAnsi="Inter"/>
          <w:color w:val="655D50"/>
          <w:sz w:val="18"/>
        </w:rPr>
        <w:t>понижение очередности, контролирующее должника лицо, аффилированные лица, компенсационное финансирование, ст. 819 ГК РФ, ст. 9 Закона о банкротстве, ст. 358.15 ГК РФ, ст. 358.17 ГК РФ, ст. 51.6 ФЗ О рынке ценных бумаг, обеспечение исполнения обязательств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Наличие у кредитора, предоставившего должнику финансирование, права контролировать деятельность последнего для обеспечения возврата этого финансирования не является основанием понижения очередности удовлетворения требования такого кредитора, не преследующего цель участия в распределении прибыли должника.</w:t>
      </w:r>
    </w:p>
    <w:p>
      <w:pPr>
        <w:widowControl/>
        <w:spacing w:after="280" w:line="312" w:lineRule="auto"/>
        <w:ind w:firstLine="567"/>
        <w:jc w:val="both"/>
      </w:pPr>
      <w:r>
        <w:rPr>
          <w:rFonts w:ascii="Inter" w:hAnsi="Inter"/>
          <w:color w:val="655D50"/>
          <w:sz w:val="24"/>
        </w:rPr>
        <w:t>В деле о банкротстве должника банк обратился в суд с заявлением о включении его требования, основанного на кредитном договоре, в реестр с удовлетворением в третью очередь.</w:t>
      </w:r>
    </w:p>
    <w:p>
      <w:pPr>
        <w:widowControl/>
        <w:spacing w:after="280" w:line="312" w:lineRule="auto"/>
        <w:ind w:firstLine="567"/>
        <w:jc w:val="both"/>
      </w:pPr>
      <w:r>
        <w:rPr>
          <w:rFonts w:ascii="Inter" w:hAnsi="Inter"/>
          <w:color w:val="655D50"/>
          <w:sz w:val="24"/>
        </w:rPr>
        <w:t>Суд первой инстанции, установив, что кредит был предоставлен в период имущественного кризиса, понизил очередность удовлетворения требования банка. Суд сослался на следующее: кредитная организация контролировала должника, поскольку в силу заключенного с мажоритарным акционером договора залога акций должника она имела право голосовать на общем собрании акционеров соответствующими акциями и осуществлять иные права акционера должника, в том числе на получение информации о его деятельности.</w:t>
      </w:r>
    </w:p>
    <w:p>
      <w:pPr>
        <w:widowControl/>
        <w:spacing w:after="280" w:line="312" w:lineRule="auto"/>
        <w:ind w:firstLine="567"/>
        <w:jc w:val="both"/>
      </w:pPr>
      <w:r>
        <w:rPr>
          <w:rFonts w:ascii="Inter" w:hAnsi="Inter"/>
          <w:color w:val="655D50"/>
          <w:sz w:val="24"/>
        </w:rPr>
        <w:t>Суд апелляционной инстанции изменил определение суда первой инстанции, включив требование банка в реестр с удовлетворением в третью очередь.</w:t>
      </w:r>
    </w:p>
    <w:p>
      <w:pPr>
        <w:widowControl/>
        <w:spacing w:after="280" w:line="312" w:lineRule="auto"/>
        <w:ind w:firstLine="567"/>
        <w:jc w:val="both"/>
      </w:pPr>
      <w:r>
        <w:rPr>
          <w:rFonts w:ascii="Inter" w:hAnsi="Inter"/>
          <w:color w:val="655D50"/>
          <w:sz w:val="24"/>
        </w:rPr>
        <w:t>Основанием понижения очередности удовлетворения требования контролирующего лица является то, что, предоставляя в ситуации имущественного кризиса компенсационное финансирование, это лицо в одностороннем порядке (без участия независимых кредиторов) принимает рискованное решение о способе выхода из сложившейся ситуации, затрагивающее судьбу уже вложенных независимыми кредиторами средств, отклоняясь от стандарта поведения, установленного п. 1 ст. 9 Закона о банкротстве. Поэтому все возможные риски, связанные с реализацией данного решения, относятся на контролирующее лицо. При этом указанное лицо, предоставляя финансирование, рассчитывает не только и не столько на получение выгоды в виде согласованного в договоре процента за пользование займом, сколько на участие в распределении всей потенциальной прибыли должника, заранее неопределимой и неограниченной.</w:t>
      </w:r>
    </w:p>
    <w:p>
      <w:pPr>
        <w:widowControl/>
        <w:spacing w:after="280" w:line="312" w:lineRule="auto"/>
        <w:ind w:firstLine="567"/>
        <w:jc w:val="both"/>
      </w:pPr>
      <w:r>
        <w:rPr>
          <w:rFonts w:ascii="Inter" w:hAnsi="Inter"/>
          <w:color w:val="655D50"/>
          <w:sz w:val="24"/>
        </w:rPr>
        <w:t>В данном случае банк, учитывая повышенный риск невозврата выдаваемого им кредита, договорился о предоставлении ему права на участие в управлении деятельностью должника для воспрепятствования возможному выводу активов, создания гарантий использования заемных средств по назначению и т.д., т.е., в конечном счете, для обеспечения исполнения обязательств по возврату кредита и выплате фиксированного процента по нему (ст. 819 ГК РФ).</w:t>
      </w:r>
    </w:p>
    <w:p>
      <w:pPr>
        <w:widowControl/>
        <w:spacing w:after="280" w:line="312" w:lineRule="auto"/>
        <w:ind w:firstLine="567"/>
        <w:jc w:val="both"/>
      </w:pPr>
      <w:r>
        <w:rPr>
          <w:rFonts w:ascii="Inter" w:hAnsi="Inter"/>
          <w:color w:val="655D50"/>
          <w:sz w:val="24"/>
        </w:rPr>
        <w:t>По смыслу ст. ст. 358.15, 358.17 ГК РФ, ст. 51.6 Федерального закона от 22 апреля 1996 г. № 39-ФЗ "О рынке ценных бумаг" (далее - Закон о рынке ценных бумаг) в подобных случаях презюмируется отсутствие у кредитной организации цели участия в распределении всей предполагаемой будущей прибыли должника. Кредитор, который ссылался на необходимость понижения очередности удовлетворения требования банка, не смог представить ни доказательств обратного (например, доказательств совершения кредитной организацией действий, выходящих за пределы обычных интересов кредитора-залогодержателя), ни свидетельств того, что банк действовал недобросовестно (в частности, навязывал органам управления должника заведомо невыгодные управленческие решения, блокировал принятие явно выгодных решений).</w:t>
      </w:r>
    </w:p>
    <w:p>
      <w:pPr>
        <w:widowControl/>
        <w:spacing w:after="280" w:line="312" w:lineRule="auto"/>
        <w:ind w:firstLine="567"/>
        <w:jc w:val="both"/>
      </w:pPr>
      <w:r>
        <w:rPr>
          <w:rFonts w:ascii="Inter" w:hAnsi="Inter"/>
          <w:color w:val="655D50"/>
          <w:sz w:val="24"/>
        </w:rPr>
        <w:t>С учетом изложенного суд апелляционной инстанции не усмотрел достаточных оснований для отнесения на банк риска утраты финансирования на случай банкротства и включил его требование в реестр с удовлетворением в третью очередь.</w:t>
      </w:r>
    </w:p>
    <w:p>
      <w:pPr>
        <w:widowControl/>
        <w:spacing w:after="280" w:line="312" w:lineRule="auto"/>
        <w:ind w:firstLine="567"/>
        <w:jc w:val="both"/>
      </w:pPr>
      <w:r>
        <w:rPr>
          <w:rFonts w:ascii="Inter" w:hAnsi="Inter"/>
          <w:color w:val="655D50"/>
          <w:sz w:val="24"/>
        </w:rPr>
        <w:t>По тем же основаниям в другом деле суд не понизил очередность удовлетворения основанного на кредитном договоре требования банка, которому мажоритарный акционер должника передал в собственность свои акции, указав следующее.</w:t>
      </w:r>
    </w:p>
    <w:p>
      <w:pPr>
        <w:widowControl/>
        <w:spacing w:after="280" w:line="312" w:lineRule="auto"/>
        <w:ind w:firstLine="567"/>
        <w:jc w:val="both"/>
      </w:pPr>
      <w:r>
        <w:rPr>
          <w:rFonts w:ascii="Inter" w:hAnsi="Inter"/>
          <w:color w:val="655D50"/>
          <w:sz w:val="24"/>
        </w:rPr>
        <w:t>Банк, не связанный с должником, находящимся в ситуации имущественного кризиса, предоставил ему кредит. В это же время банк заключил с мажоритарным акционером договор репо. Исполняя первую часть договора репо, акционер передал принадлежащий ему пакет акций банку. По условиям договора репо его вторая часть подлежала исполнению банком после погашения должником кредита и уплаты процентов.</w:t>
      </w:r>
    </w:p>
    <w:p>
      <w:pPr>
        <w:widowControl/>
        <w:spacing w:after="280" w:line="312" w:lineRule="auto"/>
        <w:ind w:firstLine="567"/>
        <w:jc w:val="both"/>
      </w:pPr>
      <w:r>
        <w:rPr>
          <w:rFonts w:ascii="Inter" w:hAnsi="Inter"/>
          <w:color w:val="655D50"/>
          <w:sz w:val="24"/>
        </w:rPr>
        <w:t>Суд указал на то, что приобретение банком прав на акции служило для него лишь обеспечением исполнения заемщиком обязательств по уплате установленных кредитным договором платежей, а также гарантией возврата вложенного. По смыслу ст. 329 ГК РФ, ст. 51.3 Закона о рынке ценных бумаг и с учетом условий договора репо упомянутое обеспечение носило временный характер - оно прекращалось при внесении заемщиком всех платежей по кредитному договору (в случае если бы план выхода из кризиса был реализован, то долг был бы погашен, а акции - возвращены первоначальному акционеру во исполнение второй части договора репо). Суд принял во внимание разъяснения о возможности признания обеспечительного характера действий по передаче права собственности, приведенные в п. 1 постановления Пленума Высшего Арбитражного Суда Российской Федерации от 14 марта 2014 г. № 17 "Об отдельных вопросах, связанных с договором выкупного лизинга".</w:t>
      </w:r>
    </w:p>
    <w:p>
      <w:pPr>
        <w:widowControl/>
        <w:spacing w:after="280" w:line="312" w:lineRule="auto"/>
        <w:ind w:firstLine="567"/>
        <w:jc w:val="both"/>
      </w:pPr>
      <w:r>
        <w:rPr>
          <w:rFonts w:ascii="Inter" w:hAnsi="Inter"/>
          <w:color w:val="655D50"/>
          <w:sz w:val="24"/>
        </w:rPr>
        <w:t>В третьем деле суд не понизил очередность удовлетворения требования кредитной организации, выдавшей кредит в условиях имущественного кризиса должника, несмотря на то, что она имела фактическую возможность контролировать деятельность должника в силу:</w:t>
      </w:r>
    </w:p>
    <w:p>
      <w:pPr>
        <w:widowControl/>
        <w:spacing w:after="280" w:line="312" w:lineRule="auto"/>
        <w:ind w:firstLine="567"/>
        <w:jc w:val="both"/>
      </w:pPr>
      <w:r>
        <w:rPr>
          <w:rFonts w:ascii="Inter" w:hAnsi="Inter"/>
          <w:color w:val="655D50"/>
          <w:sz w:val="24"/>
        </w:rPr>
        <w:t>отдельных положений кредитного договора, содержащих специальные условия о совершении заемщиком одних действий и о воздержании от совершения других - о согласовании с банком ряда управленческих решений (в частности, о продаже имущества стоимостью свыше 10 процентов от балансовой стоимости активов), о запрете на приобретение заемщиком непрофильных активов и т.д. (далее - специальные условия финансирования);</w:t>
      </w:r>
    </w:p>
    <w:p>
      <w:pPr>
        <w:widowControl/>
        <w:spacing w:after="280" w:line="312" w:lineRule="auto"/>
        <w:ind w:firstLine="567"/>
        <w:jc w:val="both"/>
      </w:pPr>
      <w:r>
        <w:rPr>
          <w:rFonts w:ascii="Inter" w:hAnsi="Inter"/>
          <w:color w:val="655D50"/>
          <w:sz w:val="24"/>
        </w:rPr>
        <w:t>заключенного банком и мажоритарным акционером должника по правилам п. 9 ст. 67.2 ГК РФ корпоративного договора, согласно которому акционер обязался голосовать против решений, направленных на изменение основного вида деятельности заемщика, о внесении изменений в устав в части расширения полномочий единоличного исполнительного органа, о реорганизации должника, решений об одобрении крупных сделок и сделок с заинтересованностью, не согласованных с банком, проголосовать на общем собрании за включение представителя кредитной организации в состав совета директоров должника и др.</w:t>
      </w:r>
    </w:p>
    <w:p>
      <w:pPr>
        <w:widowControl/>
        <w:spacing w:after="280" w:line="312" w:lineRule="auto"/>
        <w:ind w:firstLine="567"/>
        <w:jc w:val="both"/>
      </w:pPr>
      <w:r>
        <w:rPr>
          <w:rFonts w:ascii="Inter" w:hAnsi="Inter"/>
          <w:color w:val="655D50"/>
          <w:sz w:val="24"/>
        </w:rPr>
        <w:t>Суд исходил из того, что содержащиеся в кредитном договоре специальные условия финансирования, корпоративный договор с мажоритарным акционером были использованы в качестве обеспечительного механизма надлежащего исполнения заемщиком обязательств по кредитному договору. При этом кредитная организация не преследовала цель участия в распределении прибыли.</w:t>
      </w:r>
    </w:p>
    <w:p>
      <w:pPr>
        <w:widowControl/>
        <w:spacing w:after="280" w:line="312" w:lineRule="auto"/>
        <w:ind w:firstLine="567"/>
        <w:jc w:val="both"/>
      </w:pPr>
      <w:r>
        <w:rPr>
          <w:rFonts w:ascii="Inter" w:hAnsi="Inter"/>
          <w:color w:val="655D50"/>
          <w:sz w:val="24"/>
        </w:rPr>
        <w:t>В четвертом деле судом установлено, что кредитор, не связанный с должником, предоставил ему заем в ситуации имущественного кризиса заемщика. В целях обеспечения исполнения обязательств по возврату займа и уплате процентов акционеры должника передали заимодавцу в залог свои акции (ст. ст. 358.15, 358.16 ГК РФ, ст. 51.6 Закона о рынке ценных бумаг). Ввиду неисполнения должником обязательств по возврату займа кредитор обратил взыскание на эти акции, что не привело к погашению задолженности в полном объеме.</w:t>
      </w:r>
    </w:p>
    <w:p>
      <w:pPr>
        <w:widowControl/>
        <w:spacing w:after="280" w:line="312" w:lineRule="auto"/>
        <w:ind w:firstLine="567"/>
        <w:jc w:val="both"/>
      </w:pPr>
      <w:r>
        <w:rPr>
          <w:rFonts w:ascii="Inter" w:hAnsi="Inter"/>
          <w:color w:val="655D50"/>
          <w:sz w:val="24"/>
        </w:rPr>
        <w:t>Впоследствии было возбуждено дело о банкротстве заемщика.</w:t>
      </w:r>
    </w:p>
    <w:p>
      <w:pPr>
        <w:widowControl/>
        <w:spacing w:after="280" w:line="312" w:lineRule="auto"/>
        <w:ind w:firstLine="567"/>
        <w:jc w:val="both"/>
      </w:pPr>
      <w:r>
        <w:rPr>
          <w:rFonts w:ascii="Inter" w:hAnsi="Inter"/>
          <w:color w:val="655D50"/>
          <w:sz w:val="24"/>
        </w:rPr>
        <w:t>Суд включил требование кредитора о возврате непогашенной части долга в реестр с удовлетворением в третью очередь, указав следующее: обращение взыскания на заложенные акции направлено на получение исполнения, став акционером, кредитор не предоставлял должнику неразумно длительных отсрочки либо рассрочки исполнения заемного обязательства, при этом, по существу, заимодавец не имел возможности участвовать в распределении прибыли должника.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п. 11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п. 11</dc:title>
  <dc:subject/>
  <dc:creator>CasusLegal</dc:creator>
  <cp:keywords/>
  <dc:description/>
  <cp:lastModifiedBy>CasusLegal</cp:lastModifiedBy>
  <cp:revision>1</cp:revision>
  <dcterms:created xsi:type="dcterms:W3CDTF">2026-08-16T11:29:19Z</dcterms:created>
  <dcterms:modified xsi:type="dcterms:W3CDTF">2026-08-16T11:29:19Z</dcterms:modified>
  <cp:category/>
</cp:coreProperties>
</file>