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по отдельным вопросам судебной практики, связанным с принятием судами мер противодействия незаконным финансовым операциям, п. 8</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08.07.2020</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08.07.2020</w:t>
      </w:r>
    </w:p>
    <w:p>
      <w:pPr>
        <w:spacing w:after="40"/>
      </w:pPr>
      <w:r>
        <w:rPr>
          <w:rFonts w:ascii="Inter" w:hAnsi="Inter"/>
          <w:b/>
          <w:color w:val="8B8171"/>
          <w:sz w:val="18"/>
        </w:rPr>
        <w:t xml:space="preserve">Применённые нормы: </w:t>
      </w:r>
      <w:r>
        <w:rPr>
          <w:rFonts w:ascii="Inter" w:hAnsi="Inter"/>
          <w:color w:val="655D50"/>
          <w:sz w:val="18"/>
        </w:rPr>
        <w:t>ст. 12 ГПК РФ, ст. 142 ГК РФ, ст. 170 ГК РФ, ст. 65 АПК РФ, ст. 66 АПК РФ, ст. 807 ГК РФ, ст. 812 ГК РФ</w:t>
      </w:r>
    </w:p>
    <w:p>
      <w:pPr>
        <w:spacing w:after="40"/>
      </w:pPr>
      <w:r>
        <w:rPr>
          <w:rFonts w:ascii="Inter" w:hAnsi="Inter"/>
          <w:b/>
          <w:color w:val="8B8171"/>
          <w:sz w:val="18"/>
        </w:rPr>
        <w:t xml:space="preserve">Теги: </w:t>
      </w:r>
      <w:r>
        <w:rPr>
          <w:rFonts w:ascii="Inter" w:hAnsi="Inter"/>
          <w:color w:val="655D50"/>
          <w:sz w:val="18"/>
        </w:rPr>
        <w:t>легализация доходов, незаконные финансовые операции, вексель, безденежность займа, притворная сделка, статья 170 ГК РФ, статья 812 ГК РФ, статья 807 ГК РФ, обзор судебной практики Верховного Суда РФ, долговые обязательства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Требования, вытекающие из долговых обязательств (выдачи векселей), не подлежат удовлетворению, если судом установлено, что оформление долгового обязательства (выдача и предъявление векселя к оплате) направлено на придание правомерного вида незаконным финансовым операциям.</w:t>
      </w:r>
    </w:p>
    <w:p>
      <w:pPr>
        <w:widowControl/>
        <w:spacing w:after="280" w:line="312" w:lineRule="auto"/>
        <w:ind w:firstLine="567"/>
        <w:jc w:val="both"/>
      </w:pPr>
      <w:r>
        <w:rPr>
          <w:rFonts w:ascii="Inter" w:hAnsi="Inter"/>
          <w:color w:val="655D50"/>
          <w:sz w:val="24"/>
        </w:rPr>
        <w:t>Существенная часть рассматриваемых судами споров, в которых выявляются элементы легализации (отмывания) доходов, полученных незаконным путем, вытекает из долговых обязательств, а также из оборота векселей.</w:t>
      </w:r>
    </w:p>
    <w:p>
      <w:pPr>
        <w:widowControl/>
        <w:spacing w:after="280" w:line="312" w:lineRule="auto"/>
        <w:ind w:firstLine="567"/>
        <w:jc w:val="both"/>
      </w:pPr>
      <w:r>
        <w:rPr>
          <w:rFonts w:ascii="Inter" w:hAnsi="Inter"/>
          <w:color w:val="655D50"/>
          <w:sz w:val="24"/>
        </w:rPr>
        <w:t>Внимание судов в связи с этим должно быть обращено на факты, свидетельствующие о безденежности займов, отсутствие долговых обязательств, в подтверждение которых выданы векселя, заключение притворных договоров займа, прикрывающих перечисление денежных средств в иных целях (пункты 1 и 2 статьи 170, статья 812 Гражданского кодекса).</w:t>
      </w:r>
    </w:p>
    <w:p>
      <w:pPr>
        <w:widowControl/>
        <w:spacing w:after="280" w:line="312" w:lineRule="auto"/>
        <w:ind w:firstLine="567"/>
        <w:jc w:val="both"/>
      </w:pPr>
      <w:r>
        <w:rPr>
          <w:rFonts w:ascii="Inter" w:hAnsi="Inter"/>
          <w:color w:val="655D50"/>
          <w:sz w:val="24"/>
        </w:rPr>
        <w:t>Необходимо учитывать, что указание в одностороннем порядке плательщиком в платежном поручении договора займа в качестве основания платежа само по себе не является безусловным и исключительным доказательством факта заключения сторонами соглашения о займе и подлежит оценке в совокупности с иными обстоятельствами дела, к которым могут быть отнесены предшествующие и последующие взаимоотношения сторон, в частности, их взаимная переписка, переговоры, товарный и денежный оборот, наличие или отсутствие иных договорных либо внедоговорных обязательств, совершение ответчиком действий, подтверждающих наличие именно заемных обязательств и т.п. (ответ на вопрос 10 раздела "Разъяснения по вопросам, возникающим в судебной практике" Обзора судебной практики Верховного Суда Российской Федерации № 3 (2015), утвержденного Президиумом Верховного Суда Российской Федерации 25 ноября 2015 г.).</w:t>
      </w:r>
    </w:p>
    <w:p>
      <w:pPr>
        <w:widowControl/>
        <w:spacing w:after="280" w:line="312" w:lineRule="auto"/>
        <w:ind w:firstLine="567"/>
        <w:jc w:val="both"/>
      </w:pPr>
      <w:r>
        <w:rPr>
          <w:rFonts w:ascii="Inter" w:hAnsi="Inter"/>
          <w:color w:val="655D50"/>
          <w:sz w:val="24"/>
        </w:rPr>
        <w:t>В тех случаях, когда сомнения в реальности долговых обязательств, обусловленные запутанным или необычном характером сделок, не имеющих очевидного экономического смысла или очевидной законной цели, возникают при рассмотрении судами дел о несостоятельности (банкротстве), необходимо также принимать во внимание правовые подходы к применению статьи 170 Гражданского кодекса, изложенные в Обзоре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(утвержден Президиумом Верховного Суда Российской Федерации 29 января 2020 г.).</w:t>
      </w:r>
    </w:p>
    <w:p>
      <w:pPr>
        <w:widowControl/>
        <w:spacing w:after="280" w:line="312" w:lineRule="auto"/>
        <w:ind w:firstLine="567"/>
        <w:jc w:val="both"/>
      </w:pPr>
      <w:r>
        <w:rPr>
          <w:rFonts w:ascii="Inter" w:hAnsi="Inter"/>
          <w:color w:val="655D50"/>
          <w:sz w:val="24"/>
        </w:rPr>
        <w:t>Примерами дел, в которых судами установлена направленность действий стороны споров на совершение незаконных финансовых операций, в связи с долговыми обязательствами и оборотом векселей, являются следующие споры.</w:t>
      </w:r>
    </w:p>
    <w:p>
      <w:pPr>
        <w:widowControl/>
        <w:spacing w:after="280" w:line="312" w:lineRule="auto"/>
        <w:ind w:firstLine="567"/>
        <w:jc w:val="both"/>
      </w:pPr>
      <w:r>
        <w:rPr>
          <w:rFonts w:ascii="Inter" w:hAnsi="Inter"/>
          <w:color w:val="655D50"/>
          <w:sz w:val="24"/>
        </w:rPr>
        <w:t>8.1. Гражданин обратился в суд общей юрисдикции с иском к обществу о взыскании задолженности по договору займа в размере 9 миллионов рублей, процентов и неустойки.</w:t>
      </w:r>
    </w:p>
    <w:p>
      <w:pPr>
        <w:widowControl/>
        <w:spacing w:after="280" w:line="312" w:lineRule="auto"/>
        <w:ind w:firstLine="567"/>
        <w:jc w:val="both"/>
      </w:pPr>
      <w:r>
        <w:rPr>
          <w:rFonts w:ascii="Inter" w:hAnsi="Inter"/>
          <w:color w:val="655D50"/>
          <w:sz w:val="24"/>
        </w:rPr>
        <w:t>В подтверждение заключения договора истец представил подлинник договора, из которого следовало, что истец передал ответчику денежные средства в названной сумме посредством их внесения в кассу заемщика. Истцом также представлена квитанция к приходному кассовому ордеру, согласно которой общество приняло от него на основании указанного выше договора 9 миллионов рублей.</w:t>
      </w:r>
    </w:p>
    <w:p>
      <w:pPr>
        <w:widowControl/>
        <w:spacing w:after="280" w:line="312" w:lineRule="auto"/>
        <w:ind w:firstLine="567"/>
        <w:jc w:val="both"/>
      </w:pPr>
      <w:r>
        <w:rPr>
          <w:rFonts w:ascii="Inter" w:hAnsi="Inter"/>
          <w:color w:val="655D50"/>
          <w:sz w:val="24"/>
        </w:rPr>
        <w:t>Представитель ответчика исковые требования признал и пояснил, что заемные денежные средства не могут быть добровольно возвращены истцу в связи с блокировкой счета организации.</w:t>
      </w:r>
    </w:p>
    <w:p>
      <w:pPr>
        <w:widowControl/>
        <w:spacing w:after="280" w:line="312" w:lineRule="auto"/>
        <w:ind w:firstLine="567"/>
        <w:jc w:val="both"/>
      </w:pPr>
      <w:r>
        <w:rPr>
          <w:rFonts w:ascii="Inter" w:hAnsi="Inter"/>
          <w:color w:val="655D50"/>
          <w:sz w:val="24"/>
        </w:rPr>
        <w:t>Решением районного суда, оставленным без изменения определением судебной коллегии по гражданским делам областного суда, в удовлетворении иска отказано по следующим основаниям.</w:t>
      </w:r>
    </w:p>
    <w:p>
      <w:pPr>
        <w:widowControl/>
        <w:spacing w:after="280" w:line="312" w:lineRule="auto"/>
        <w:ind w:firstLine="567"/>
        <w:jc w:val="both"/>
      </w:pPr>
      <w:r>
        <w:rPr>
          <w:rFonts w:ascii="Inter" w:hAnsi="Inter"/>
          <w:color w:val="655D50"/>
          <w:sz w:val="24"/>
        </w:rPr>
        <w:t>Согласно пункту 1 статьи 807 Гражданского кодекса договор займа, если займодавцем является гражданин, является реальным и считается заключенным с момента передачи суммы займа или другого предмета договора займа заемщику или указанному им лицу.</w:t>
      </w:r>
    </w:p>
    <w:p>
      <w:pPr>
        <w:widowControl/>
        <w:spacing w:after="280" w:line="312" w:lineRule="auto"/>
        <w:ind w:firstLine="567"/>
        <w:jc w:val="both"/>
      </w:pPr>
      <w:r>
        <w:rPr>
          <w:rFonts w:ascii="Inter" w:hAnsi="Inter"/>
          <w:color w:val="655D50"/>
          <w:sz w:val="24"/>
        </w:rPr>
        <w:t>Поскольку для возникновения обязательства по возврату займа требуется фактическая передача кредитором должнику денежных средств (или других вещей, определенных родовыми признаками), то в случае спора на кредиторе лежит обязанность доказать факт передачи должнику предмета займа и то, что между сторонами возникли отношения, регулируемые главой 42 Гражданского кодекса, а на заемщике - факт надлежащего исполнения обязательств по возврату займа либо безденежность займа.</w:t>
      </w:r>
    </w:p>
    <w:p>
      <w:pPr>
        <w:widowControl/>
        <w:spacing w:after="280" w:line="312" w:lineRule="auto"/>
        <w:ind w:firstLine="567"/>
        <w:jc w:val="both"/>
      </w:pPr>
      <w:r>
        <w:rPr>
          <w:rFonts w:ascii="Inter" w:hAnsi="Inter"/>
          <w:color w:val="655D50"/>
          <w:sz w:val="24"/>
        </w:rPr>
        <w:t>С учетом характера спора и представленных участвующими в деле лицами доказательств у суда возникли обоснованные сомнения в реальности долгового обязательства и в возможной направленности согласованных действий сторон на совершение незаконных финансовых операций. В связи с этим суд вынес на обсуждение сторон вопрос о фактическом наличии у истца на момент заключения договора заявленной денежной суммы в наличной форме и ее реальной передаче ответчику.</w:t>
      </w:r>
    </w:p>
    <w:p>
      <w:pPr>
        <w:widowControl/>
        <w:spacing w:after="280" w:line="312" w:lineRule="auto"/>
        <w:ind w:firstLine="567"/>
        <w:jc w:val="both"/>
      </w:pPr>
      <w:r>
        <w:rPr>
          <w:rFonts w:ascii="Inter" w:hAnsi="Inter"/>
          <w:color w:val="655D50"/>
          <w:sz w:val="24"/>
        </w:rPr>
        <w:t>При этом суд исходил из того обстоятельства, что хотя в силу пункта 1 статьи 812 Гражданского кодекса бремя доказывания обстоятельств безденежности договора займа лежит на заемщике, однако указанное не освобождает суд от обязанности создать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дела (статья 12 ГПК РФ).</w:t>
      </w:r>
    </w:p>
    <w:p>
      <w:pPr>
        <w:widowControl/>
        <w:spacing w:after="280" w:line="312" w:lineRule="auto"/>
        <w:ind w:firstLine="567"/>
        <w:jc w:val="both"/>
      </w:pPr>
      <w:r>
        <w:rPr>
          <w:rFonts w:ascii="Inter" w:hAnsi="Inter"/>
          <w:color w:val="655D50"/>
          <w:sz w:val="24"/>
        </w:rPr>
        <w:t>Судом первой инстанции стороне истца было предложено представить доказательства наличия денежных средств в размере, переданном по договору займа, а ответчику - доказательства зачисления денежных средств на счет в кредитной организации, сведения о счетах организации, в том числе и заблокированных.</w:t>
      </w:r>
    </w:p>
    <w:p>
      <w:pPr>
        <w:widowControl/>
        <w:spacing w:after="280" w:line="312" w:lineRule="auto"/>
        <w:ind w:firstLine="567"/>
        <w:jc w:val="both"/>
      </w:pPr>
      <w:r>
        <w:rPr>
          <w:rFonts w:ascii="Inter" w:hAnsi="Inter"/>
          <w:color w:val="655D50"/>
          <w:sz w:val="24"/>
        </w:rPr>
        <w:t>Доказательств, подтверждающих финансовую возможность истца предоставить ответчику заем в размере 9 миллионов рублей, представлено не было, а пояснения представителя истца о том, что указанные денежные средства были получены им в разные периоды путем ставок в букмекерских конторах, своего подтверждения не нашли.</w:t>
      </w:r>
    </w:p>
    <w:p>
      <w:pPr>
        <w:widowControl/>
        <w:spacing w:after="280" w:line="312" w:lineRule="auto"/>
        <w:ind w:firstLine="567"/>
        <w:jc w:val="both"/>
      </w:pPr>
      <w:r>
        <w:rPr>
          <w:rFonts w:ascii="Inter" w:hAnsi="Inter"/>
          <w:color w:val="655D50"/>
          <w:sz w:val="24"/>
        </w:rPr>
        <w:t>Также не было представлено доказательств, подтверждающих, что денежные средства в вышеуказанной сумме были реально переданы ответчику, внесены в кассу общества, зачислены на его счет в кредитной организации и израсходованы.</w:t>
      </w:r>
    </w:p>
    <w:p>
      <w:pPr>
        <w:widowControl/>
        <w:spacing w:after="280" w:line="312" w:lineRule="auto"/>
        <w:ind w:firstLine="567"/>
        <w:jc w:val="both"/>
      </w:pPr>
      <w:r>
        <w:rPr>
          <w:rFonts w:ascii="Inter" w:hAnsi="Inter"/>
          <w:color w:val="655D50"/>
          <w:sz w:val="24"/>
        </w:rPr>
        <w:t>При этом доказательствами, представленными территориальным подразделением Росфинмониторинга и налоговым органом, привлеченными к участию в деле, подтверждено, что общество было создано и зарегистрировано в качестве юридического лица за 1 день до заключения спорного договора займа. При отсутствии данных, свидетельствующих об осуществлении обществом реальной хозяйственной деятельности, общество с момента своего создания неоднократно обращалось в арбитражный суд области с заявлениями о выдаче судебных приказов по требованиям, вытекающим из неисполнения договоров на оказание маркетинговых услуг, выполнения ремонтных работ, поставки строительных материалов и т.д. В Единый государственный реестр юридических лиц внесена запись о недостоверности сведений о генеральном директоре общества.</w:t>
      </w:r>
    </w:p>
    <w:p>
      <w:pPr>
        <w:widowControl/>
        <w:spacing w:after="280" w:line="312" w:lineRule="auto"/>
        <w:ind w:firstLine="567"/>
        <w:jc w:val="both"/>
      </w:pPr>
      <w:r>
        <w:rPr>
          <w:rFonts w:ascii="Inter" w:hAnsi="Inter"/>
          <w:color w:val="655D50"/>
          <w:sz w:val="24"/>
        </w:rPr>
        <w:t>Изложенные обстоятельства, а также поведение участников процесса,/которые неоднократно пытались убедить суд в необходимости удовлетворения исковых требований ввиду признания иска ответчиком, а впоследствии - в утверждении между сторонами мирового соглашения, позволили судебным инстанциям прийти к выводу о намерении сторон придать правомерный вид перечислению денежных средств.</w:t>
      </w:r>
    </w:p>
    <w:p>
      <w:pPr>
        <w:widowControl/>
        <w:spacing w:after="280" w:line="312" w:lineRule="auto"/>
        <w:ind w:firstLine="567"/>
        <w:jc w:val="both"/>
      </w:pPr>
      <w:r>
        <w:rPr>
          <w:rFonts w:ascii="Inter" w:hAnsi="Inter"/>
          <w:color w:val="655D50"/>
          <w:sz w:val="24"/>
        </w:rPr>
        <w:t>При таком положении суды признали договор займа мнимой сделкой (пункт 1 статьи 170 Гражданского кодекса), а обращение гражданина с иском - злоупотреблением правом, что повлекло отказ в судебной защите.</w:t>
      </w:r>
    </w:p>
    <w:p>
      <w:pPr>
        <w:widowControl/>
        <w:spacing w:after="280" w:line="312" w:lineRule="auto"/>
        <w:ind w:firstLine="567"/>
        <w:jc w:val="both"/>
      </w:pPr>
      <w:r>
        <w:rPr>
          <w:rFonts w:ascii="Inter" w:hAnsi="Inter"/>
          <w:color w:val="655D50"/>
          <w:sz w:val="24"/>
        </w:rPr>
        <w:t>8.2. На основании заключенных с банком договоров уступки прав (требований) к заемщику общество обратилось в арбитражный суд с иском о взыскании задолженности по кредитным договорам в общей сумме 3 миллиардов рублей.</w:t>
      </w:r>
    </w:p>
    <w:p>
      <w:pPr>
        <w:widowControl/>
        <w:spacing w:after="280" w:line="312" w:lineRule="auto"/>
        <w:ind w:firstLine="567"/>
        <w:jc w:val="both"/>
      </w:pPr>
      <w:r>
        <w:rPr>
          <w:rFonts w:ascii="Inter" w:hAnsi="Inter"/>
          <w:color w:val="655D50"/>
          <w:sz w:val="24"/>
        </w:rPr>
        <w:t>Ответчиком задолженность не оспаривалась.</w:t>
      </w:r>
    </w:p>
    <w:p>
      <w:pPr>
        <w:widowControl/>
        <w:spacing w:after="280" w:line="312" w:lineRule="auto"/>
        <w:ind w:firstLine="567"/>
        <w:jc w:val="both"/>
      </w:pPr>
      <w:r>
        <w:rPr>
          <w:rFonts w:ascii="Inter" w:hAnsi="Inter"/>
          <w:color w:val="655D50"/>
          <w:sz w:val="24"/>
        </w:rPr>
        <w:t>Согласно информации, представленной государственными органами, привлеченными к участию в деле, в период заключения кредитных договоров заемщик не располагал основными средствами и иными активами, получал доход исключительно от финансовых операций (курсовая разница), налоги в спорный период не уплачивал. Выступившая заемщиком организация и ряд иных юридических лиц, декларирующих свое участие в инвестиционных проектах бенефициара банка, в период заключения кредитных договоров направляли полученные от банка денежные средства на счета иностранных компаний, открытые в банках-нерезидентах, в оплату контрактов по приобретению оборудования, предусматривающих его ввоз на территорию Российской Федерации. Однако по сведениям таможенных органов фактически оборудование не ввозилось.</w:t>
      </w:r>
    </w:p>
    <w:p>
      <w:pPr>
        <w:widowControl/>
        <w:spacing w:after="280" w:line="312" w:lineRule="auto"/>
        <w:ind w:firstLine="567"/>
        <w:jc w:val="both"/>
      </w:pPr>
      <w:r>
        <w:rPr>
          <w:rFonts w:ascii="Inter" w:hAnsi="Inter"/>
          <w:color w:val="655D50"/>
          <w:sz w:val="24"/>
        </w:rPr>
        <w:t>С учетом поступившей информации суд в соответствии с частью 2 статьи 65, частью 2 статьи 66 АПК РФ вынес на обсуждение сторон вопрос о наличии признаков мнимости (притворности) кредитных договоров (статья 170 Гражданского кодекса) и предложил сторонам представить доказательства, раскрывающие: обстоятельства, при которых у заемщика возникла потребность в привлечении финансирования и банком было дано согласие на выдачу кредитов; доказательства использования полученных в долг денежных средств на цели, указанные в кредитных договорах; отражение полученных средств в налоговом и бухгалтерском учете.</w:t>
      </w:r>
    </w:p>
    <w:p>
      <w:pPr>
        <w:widowControl/>
        <w:spacing w:after="280" w:line="312" w:lineRule="auto"/>
        <w:ind w:firstLine="567"/>
        <w:jc w:val="both"/>
      </w:pPr>
      <w:r>
        <w:rPr>
          <w:rFonts w:ascii="Inter" w:hAnsi="Inter"/>
          <w:color w:val="655D50"/>
          <w:sz w:val="24"/>
        </w:rPr>
        <w:t>Между тем при дальнейшем рассмотрении дела установлено, что кредиты выданы банком в отсутствие какого-либо обеспечения со стороны заемщика или третьих лиц, что является не характерным для банковской деятельности. Возможность оценки и проверки финансового состояния заемщика на дату его кредитования банком не представляется возможной, поскольку кредитной организацией частично уничтожены документы, касающиеся взаимоотношений с заемщиком, в том числе и досье клиента.</w:t>
      </w:r>
    </w:p>
    <w:p>
      <w:pPr>
        <w:widowControl/>
        <w:spacing w:after="280" w:line="312" w:lineRule="auto"/>
        <w:ind w:firstLine="567"/>
        <w:jc w:val="both"/>
      </w:pPr>
      <w:r>
        <w:rPr>
          <w:rFonts w:ascii="Inter" w:hAnsi="Inter"/>
          <w:color w:val="655D50"/>
          <w:sz w:val="24"/>
        </w:rPr>
        <w:t>Таким образом, под видом инвестиционного кредитования банк произвел перечисление денежных средств организации, не осуществлявшей реальной финансово-хозяйственной деятельности, но участвовавшей в "транзитной" передаче денежных средств иностранным компаниям, аффилированных с бенефициаром банка, что в соответствии с пунктом 2 статьи 170 Гражданского кодекса свидетельствует о притворности договоров, на которых основаны требования истца.</w:t>
      </w:r>
    </w:p>
    <w:p>
      <w:pPr>
        <w:widowControl/>
        <w:spacing w:after="280" w:line="312" w:lineRule="auto"/>
        <w:ind w:firstLine="567"/>
        <w:jc w:val="both"/>
      </w:pPr>
      <w:r>
        <w:rPr>
          <w:rFonts w:ascii="Inter" w:hAnsi="Inter"/>
          <w:color w:val="655D50"/>
          <w:sz w:val="24"/>
        </w:rPr>
        <w:t>С учетом изложенного при отсутствии намерения сторон спора раскрыть действительные отношения, стоящие за оформлением кредитных договоров, и подтвердить законность совершенных при этом финансовых операций, оценка предъявленного цессионарием требования как недействительного (право требования возврата, полученного по недействительной сделке, не являлось предметом уступки) исключало удовлетворение иска.</w:t>
      </w:r>
    </w:p>
    <w:p>
      <w:pPr>
        <w:widowControl/>
        <w:spacing w:after="280" w:line="312" w:lineRule="auto"/>
        <w:ind w:firstLine="567"/>
        <w:jc w:val="both"/>
      </w:pPr>
      <w:r>
        <w:rPr>
          <w:rFonts w:ascii="Inter" w:hAnsi="Inter"/>
          <w:color w:val="655D50"/>
          <w:sz w:val="24"/>
        </w:rPr>
        <w:t>8.3. В другом деле общество обратилось в арбитражный суд с исковым заявлением о взыскании 32 миллионов рублей номинальной стоимости векселей. Требования мотивированы тем, что ответчиком выпущены простые векселя, держателем которых является истец. После наступления срока, предусмотренного векселями, они были предъявлены к оплате, однако вексельные обязательства ответчиком в добровольном порядке не исполнены.</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привлечено управление Федеральной налоговой службы по субъекту Российской Федерации, информация о возбуждении дела также направлена судом в территориальное подразделение Росфинмониторинга.</w:t>
      </w:r>
    </w:p>
    <w:p>
      <w:pPr>
        <w:widowControl/>
        <w:spacing w:after="280" w:line="312" w:lineRule="auto"/>
        <w:ind w:firstLine="567"/>
        <w:jc w:val="both"/>
      </w:pPr>
      <w:r>
        <w:rPr>
          <w:rFonts w:ascii="Inter" w:hAnsi="Inter"/>
          <w:color w:val="655D50"/>
          <w:sz w:val="24"/>
        </w:rPr>
        <w:t>Суд отказал в удовлетворении иска по следующим основаниям.</w:t>
      </w:r>
    </w:p>
    <w:p>
      <w:pPr>
        <w:widowControl/>
        <w:spacing w:after="280" w:line="312" w:lineRule="auto"/>
        <w:ind w:firstLine="567"/>
        <w:jc w:val="both"/>
      </w:pPr>
      <w:r>
        <w:rPr>
          <w:rFonts w:ascii="Inter" w:hAnsi="Inter"/>
          <w:color w:val="655D50"/>
          <w:sz w:val="24"/>
        </w:rPr>
        <w:t>В соответствии со статьями 142, 143 и 815 Гражданского кодекса простой вексель относится к ценным бумагам и представляет собой письменный документ, содержащий простое и ничем не обусловленное обязательство векселедателя (должника) уплатить векселедержателю указанную в векселе сумму в указанный в нем срок. Векселедатель по простому векселю является прямым должником по векселю.</w:t>
      </w:r>
    </w:p>
    <w:p>
      <w:pPr>
        <w:widowControl/>
        <w:spacing w:after="280" w:line="312" w:lineRule="auto"/>
        <w:ind w:firstLine="567"/>
        <w:jc w:val="both"/>
      </w:pPr>
      <w:r>
        <w:rPr>
          <w:rFonts w:ascii="Inter" w:hAnsi="Inter"/>
          <w:color w:val="655D50"/>
          <w:sz w:val="24"/>
        </w:rPr>
        <w:t>В силу статьи 142 Гражданского кодекса реализация права, удостоверенного ценной бумагой, невозможна без ее предъявления, то есть без предъявления оригинала векселя нельзя установить соответствие векселя формальным требованиям, предъявляемым к такому виду ценных бумаг и разрешить вопрос о подлинности данной ценной бумаги.</w:t>
      </w:r>
    </w:p>
    <w:p>
      <w:pPr>
        <w:widowControl/>
        <w:spacing w:after="280" w:line="312" w:lineRule="auto"/>
        <w:ind w:firstLine="567"/>
        <w:jc w:val="both"/>
      </w:pPr>
      <w:r>
        <w:rPr>
          <w:rFonts w:ascii="Inter" w:hAnsi="Inter"/>
          <w:color w:val="655D50"/>
          <w:sz w:val="24"/>
        </w:rPr>
        <w:t>Как разъяснено в связи с этим в пункте 6 постановления Пленума Верховного Суда Российской Федерации и Пленума Высшего Арбитражного Суда Российской Федерации от 4 декабря 2000 г. № 33/13 "О некоторых вопросах практики рассмотрения споров, связанных с обращением векселей" (далее - постановление Пленума № 33/13), истец обязан представить суду подлинный документ, на котором он основывает свое требование, поскольку осуществление права, удостоверенного ценной бумагой, возможно только по ее предъявлении, за исключением случая, когда вексель был передан ответчику для получения платежа, и истец этот платеж не получил.</w:t>
      </w:r>
    </w:p>
    <w:p>
      <w:pPr>
        <w:widowControl/>
        <w:spacing w:after="280" w:line="312" w:lineRule="auto"/>
        <w:ind w:firstLine="567"/>
        <w:jc w:val="both"/>
      </w:pPr>
      <w:r>
        <w:rPr>
          <w:rFonts w:ascii="Inter" w:hAnsi="Inter"/>
          <w:color w:val="655D50"/>
          <w:sz w:val="24"/>
        </w:rPr>
        <w:t>Исходя из статьи 17 Положения о простом и переводном векселе, утвержденного постановлением ЦИК СССР и СНК СССР от 7 августа 1937 г. № 104/1341, лицо, обязанное по векселю, освобождается от платежа, если предъявивший требования кредитор знал или должен был знать в момент приобретения векселя о недействительности или об отсутствии обязательства, лежащего в основе выдачи (передачи) векселя (пункт 15 постановления Пленума № 33/14).</w:t>
      </w:r>
    </w:p>
    <w:p>
      <w:pPr>
        <w:widowControl/>
        <w:spacing w:after="280" w:line="312" w:lineRule="auto"/>
        <w:ind w:firstLine="567"/>
        <w:jc w:val="both"/>
      </w:pPr>
      <w:r>
        <w:rPr>
          <w:rFonts w:ascii="Inter" w:hAnsi="Inter"/>
          <w:color w:val="655D50"/>
          <w:sz w:val="24"/>
        </w:rPr>
        <w:t>Истец не представил оригиналы векселей, сославшись на то, что они переданы ответчику для осуществления платежей.</w:t>
      </w:r>
    </w:p>
    <w:p>
      <w:pPr>
        <w:widowControl/>
        <w:spacing w:after="280" w:line="312" w:lineRule="auto"/>
        <w:ind w:firstLine="567"/>
        <w:jc w:val="both"/>
      </w:pPr>
      <w:r>
        <w:rPr>
          <w:rFonts w:ascii="Inter" w:hAnsi="Inter"/>
          <w:color w:val="655D50"/>
          <w:sz w:val="24"/>
        </w:rPr>
        <w:t>Однако согласно полученным от налогового органа сведениям вексельные обязательства не отражены в бухгалтерской документации ни истцом, ни ответчиком, которые являются аффилированными лицами по отношению друг к другу. По результатам налоговой проверки ответчика также установлено, что между сторонами по делу заключено соглашение о зачете встречных (однородных) требований, согласно которому требование истца об оплате векселей, составляющих предмет спора, погашает встречное требование ответчика по оплате товара (угля), поставленных истцу. В свою очередь, поставка товара в действительности осуществлялась непосредственно его изготовителем на склад организации, являвшейся грузоотправителем угля на экспорт, без участия истца и ответчика. Названные обстоятельства вопреки части 1 статьи 65 АПК РФ сторонами не опровергнуты.</w:t>
      </w:r>
    </w:p>
    <w:p>
      <w:pPr>
        <w:widowControl/>
        <w:spacing w:after="280" w:line="312" w:lineRule="auto"/>
        <w:ind w:firstLine="567"/>
        <w:jc w:val="both"/>
      </w:pPr>
      <w:r>
        <w:rPr>
          <w:rFonts w:ascii="Inter" w:hAnsi="Inter"/>
          <w:color w:val="655D50"/>
          <w:sz w:val="24"/>
        </w:rPr>
        <w:t>Таким образом, оформление спорных векселей не сопровождалось возникновением долгового обязательства, а опосредовало цель создания видимости исполнения иных хозяйственных договоров. Поскольку установленные по делу обстоятельства свидетельствуют об отсутствии обязательства, лежащего в основе выдачи векселя (пункт 1 статьи 170 Гражданского кодекса), требование истца признано не подлежащим удовлетворению.</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по отдельным вопросам судебной практики, связанным с принятием судами мер противодействия незаконным финансовым операциям", п. 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по отдельным вопросам судебной практики, связанным с принятием судами мер противодействия незаконным финансовым операциям, п. 8</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