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разрешения споров, связанных с применением законодательства о независимой гарантии, п. 11</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05.06.2019</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05.06.2019</w:t>
      </w:r>
    </w:p>
    <w:p>
      <w:pPr>
        <w:spacing w:after="40"/>
      </w:pPr>
      <w:r>
        <w:rPr>
          <w:rFonts w:ascii="Inter" w:hAnsi="Inter"/>
          <w:b/>
          <w:color w:val="8B8171"/>
          <w:sz w:val="18"/>
        </w:rPr>
        <w:t xml:space="preserve">Теги: </w:t>
      </w:r>
      <w:r>
        <w:rPr>
          <w:rFonts w:ascii="Inter" w:hAnsi="Inter"/>
          <w:color w:val="655D50"/>
          <w:sz w:val="18"/>
        </w:rPr>
        <w:t>независимая гарантия, банковская гарантия, статья 370 ГК РФ, статья 376 ГК РФ, статья 10 ГК РФ, злоупотребление правом, обеспечительное обязательство, государственный контракт, подряд, гражданское право</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Обязательство гаранта перед бенефициаром не зависит от того основного обязательства, в обеспечение исполнения которого выдана гарантия, даже если в самой гарантии содержится ссылка на это обязательство.</w:t>
      </w:r>
    </w:p>
    <w:p>
      <w:pPr>
        <w:widowControl/>
        <w:spacing w:after="280" w:line="312" w:lineRule="auto"/>
        <w:ind w:firstLine="567"/>
        <w:jc w:val="both"/>
      </w:pPr>
      <w:r>
        <w:rPr>
          <w:rFonts w:ascii="Inter" w:hAnsi="Inter"/>
          <w:color w:val="655D50"/>
          <w:sz w:val="24"/>
        </w:rPr>
        <w:t>Дирекция строительства (бенефициар) обратилась к банку (гаранту) с иском о взыскании основного долга по банковской гарантии.</w:t>
      </w:r>
    </w:p>
    <w:p>
      <w:pPr>
        <w:widowControl/>
        <w:spacing w:after="280" w:line="312" w:lineRule="auto"/>
        <w:ind w:firstLine="567"/>
        <w:jc w:val="both"/>
      </w:pPr>
      <w:r>
        <w:rPr>
          <w:rFonts w:ascii="Inter" w:hAnsi="Inter"/>
          <w:color w:val="655D50"/>
          <w:sz w:val="24"/>
        </w:rPr>
        <w:t>Иск мотивирован тем, что банк не исполнил обязательство по банковской гарантии, выданной на случай неисполнения обществом (принципалом, подрядчиком) обязанности по возврату неотработанного аванса, перечисленного дирекцией строительства (заказчиком) в рамках государственного контракта.</w:t>
      </w:r>
    </w:p>
    <w:p>
      <w:pPr>
        <w:widowControl/>
        <w:spacing w:after="280" w:line="312" w:lineRule="auto"/>
        <w:ind w:firstLine="567"/>
        <w:jc w:val="both"/>
      </w:pPr>
      <w:r>
        <w:rPr>
          <w:rFonts w:ascii="Inter" w:hAnsi="Inter"/>
          <w:color w:val="655D50"/>
          <w:sz w:val="24"/>
        </w:rPr>
        <w:t>При этом гарант, отказывая в удовлетворении требования бенефициара в досудебном порядке, сослался на то, что государственным контрактом предусмотрено перечисление только одного авансового платежа, который подрядчик отработал.</w:t>
      </w:r>
    </w:p>
    <w:p>
      <w:pPr>
        <w:widowControl/>
        <w:spacing w:after="280" w:line="312" w:lineRule="auto"/>
        <w:ind w:firstLine="567"/>
        <w:jc w:val="both"/>
      </w:pPr>
      <w:r>
        <w:rPr>
          <w:rFonts w:ascii="Inter" w:hAnsi="Inter"/>
          <w:color w:val="655D50"/>
          <w:sz w:val="24"/>
        </w:rPr>
        <w:t>Решением суда первой инстанции иск удовлетворен.</w:t>
      </w:r>
    </w:p>
    <w:p>
      <w:pPr>
        <w:widowControl/>
        <w:spacing w:after="280" w:line="312" w:lineRule="auto"/>
        <w:ind w:firstLine="567"/>
        <w:jc w:val="both"/>
      </w:pPr>
      <w:r>
        <w:rPr>
          <w:rFonts w:ascii="Inter" w:hAnsi="Inter"/>
          <w:color w:val="655D50"/>
          <w:sz w:val="24"/>
        </w:rPr>
        <w:t>Суд первой инстанции исходил из соответствия требования бенефициара и приложенных к нему документов условиям гарантии, положениям Гражданского кодекса РФ о независимости гарантии, констатировав отсутствие предусмотренных законодательством оснований для отказа в совершении платежа.</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окружного суда, решение суда первой инстанции отменено, в удовлетворении иска отказано.</w:t>
      </w:r>
    </w:p>
    <w:p>
      <w:pPr>
        <w:widowControl/>
        <w:spacing w:after="280" w:line="312" w:lineRule="auto"/>
        <w:ind w:firstLine="567"/>
        <w:jc w:val="both"/>
      </w:pPr>
      <w:r>
        <w:rPr>
          <w:rFonts w:ascii="Inter" w:hAnsi="Inter"/>
          <w:color w:val="655D50"/>
          <w:sz w:val="24"/>
        </w:rPr>
        <w:t>Суды апелляционной инстанции и округа приняли во внимание двусторонний акт сверки расчетов, согласно которому дирекция строительства зачла первый авансовый платеж в счет оплаты фактически выполненных обществом работ, и условия договора подряда об однократности авансирования подрядчика. Ссылки дирекции строительства на то, что согласно названному акту сверки расчетов итоговое сальдо сложилось в пользу заказчика, суды отклонили, поскольку он на свой риск перечислял второй и последующие авансовые платежи, не предусмотренные договором подряда.</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РФ постановления судов апелляционной инстанции и округа отменила, решение суда первой инстанции оставила в силе.</w:t>
      </w:r>
    </w:p>
    <w:p>
      <w:pPr>
        <w:widowControl/>
        <w:spacing w:after="280" w:line="312" w:lineRule="auto"/>
        <w:ind w:firstLine="567"/>
        <w:jc w:val="both"/>
      </w:pPr>
      <w:r>
        <w:rPr>
          <w:rFonts w:ascii="Inter" w:hAnsi="Inter"/>
          <w:color w:val="655D50"/>
          <w:sz w:val="24"/>
        </w:rPr>
        <w:t>Как указала Судебная коллегия, гарант не вправе выдвигать против требования об осуществлении платежа по гарантии возражения, вытекающие из основного обязательства (п. 1 ст. 370 ГК РФ). Независимость гарантии обеспечивается наличием специальных и при этом исчерпывающих оснований для отказа гаранта в удовлетворении требования бенефициара, которые никак не связаны с основным обязательством (п. 1 ст. 376 ГК РФ), а также отсутствием у гаранта права на отказ в выплате после истечения срока приостановления платежа (п. 5 ст. 376 названного Кодекса).</w:t>
      </w:r>
    </w:p>
    <w:p>
      <w:pPr>
        <w:widowControl/>
        <w:spacing w:after="280" w:line="312" w:lineRule="auto"/>
        <w:ind w:firstLine="567"/>
        <w:jc w:val="both"/>
      </w:pPr>
      <w:r>
        <w:rPr>
          <w:rFonts w:ascii="Inter" w:hAnsi="Inter"/>
          <w:color w:val="655D50"/>
          <w:sz w:val="24"/>
        </w:rPr>
        <w:t>Отход от принципа независимости гарантии допускается только при злоупотреблении бенефициаром своим правом на безусловное получение выплаты. Для применения норм о злоупотреблении правом в споре о взыскании долга по независимой гарантии необходимо, чтобы из обстоятельств дела явно следовало намерение бенефициара, получившего вне всяких разумных сомнений надлежащее исполнение по основному обязательству, недобросовестно обогатиться путем истребования платежа от гаранта. В этом случае иск бенефициара не подлежит удовлетворению на основании п. 2 ст. 10 Кодекса.</w:t>
      </w:r>
    </w:p>
    <w:p>
      <w:pPr>
        <w:widowControl/>
        <w:spacing w:after="280" w:line="312" w:lineRule="auto"/>
        <w:ind w:firstLine="567"/>
        <w:jc w:val="both"/>
      </w:pPr>
      <w:r>
        <w:rPr>
          <w:rFonts w:ascii="Inter" w:hAnsi="Inter"/>
          <w:color w:val="655D50"/>
          <w:sz w:val="24"/>
        </w:rPr>
        <w:t>Суждения банка относительно того, каким образом должно было осуществляться авансирование и как стороны подрядных отношений зачли те или иные платежи заказчика, связаны исключительно с оценкой гарантом обстоятельств, касающихся исполнения основного обязательства, и сами по себе не могут приниматься во внимание при разрешении иска о взыскании долга по банковской гарантии. При этом из поведения бенефициара нельзя сделать однозначный вывод, что его действия были направлены исключительно на недобросовестное получение обогащения за чужой счет.</w:t>
      </w:r>
    </w:p>
    <w:p>
      <w:pPr>
        <w:widowControl/>
        <w:spacing w:after="280" w:line="312" w:lineRule="auto"/>
        <w:ind w:firstLine="567"/>
        <w:jc w:val="both"/>
      </w:pPr>
      <w:r>
        <w:rPr>
          <w:rFonts w:ascii="Inter" w:hAnsi="Inter"/>
          <w:color w:val="655D50"/>
          <w:sz w:val="24"/>
        </w:rPr>
        <w:t>В другом деле гарант, отказывая в удовлетворении требования бенефициара о выплате по гарантии, сослался на то, что не наступил срок исполнения обеспеченного гарантией обязательства принципала по возврату авансового платежа, перечисленного по договору поставки, поскольку бенефициар не уведомил принципала об одностороннем отказе от исполнения основного договора.</w:t>
      </w:r>
    </w:p>
    <w:p>
      <w:pPr>
        <w:widowControl/>
        <w:spacing w:after="280" w:line="312" w:lineRule="auto"/>
        <w:ind w:firstLine="567"/>
        <w:jc w:val="both"/>
      </w:pPr>
      <w:r>
        <w:rPr>
          <w:rFonts w:ascii="Inter" w:hAnsi="Inter"/>
          <w:color w:val="655D50"/>
          <w:sz w:val="24"/>
        </w:rPr>
        <w:t>Суды первой и апелляционной инстанций, согласившись с доводами гаранта, отказали в удовлетворении иска бенефициара, признав недоказанным факт прекращения отношений по поставке.</w:t>
      </w:r>
    </w:p>
    <w:p>
      <w:pPr>
        <w:widowControl/>
        <w:spacing w:after="280" w:line="312" w:lineRule="auto"/>
        <w:ind w:firstLine="567"/>
        <w:jc w:val="both"/>
      </w:pPr>
      <w:r>
        <w:rPr>
          <w:rFonts w:ascii="Inter" w:hAnsi="Inter"/>
          <w:color w:val="655D50"/>
          <w:sz w:val="24"/>
        </w:rPr>
        <w:t>Суд округа отменил принятые по делу судебные акты.</w:t>
      </w:r>
    </w:p>
    <w:p>
      <w:pPr>
        <w:widowControl/>
        <w:spacing w:after="280" w:line="312" w:lineRule="auto"/>
        <w:ind w:firstLine="567"/>
        <w:jc w:val="both"/>
      </w:pPr>
      <w:r>
        <w:rPr>
          <w:rFonts w:ascii="Inter" w:hAnsi="Inter"/>
          <w:color w:val="655D50"/>
          <w:sz w:val="24"/>
        </w:rPr>
        <w:t>В рассматриваемом случае не имелось оснований, по которым гарант вправе был отказать в удовлетворении требования бенефициара (п. 1 ст. 376 ГК РФ). Требование предъявлено бенефициаром до окончания срока действия гарантии, его размер не превышает определенную в гарантии сумму, а приложенные к требованию о платеже документы по своим внешним признакам соответствуют условиям гарантии. В текст гарантии не включено положение о необходимости представления бенефициаром с требованием о платеже документа, подтверждающего прекращение договорных отношений по поставке. При этом из материалов дела не следовало, что в действиях бенефициара имеются очевидные признаки злоупотребления правом, в частности что он явно недобросовестно пытается обогатиться за чужой счет, требуя произвести платеж по гарантии после приемки доброкачественного товара, поставленного в согласованные сроки, в отсутствие каких-либо претензий к поставщику.</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разрешения споров, связанных с применением законодательства о независимой гарантии", п. 11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разрешения споров, связанных с применением законодательства о независимой гарантии, п. 11</dc:title>
  <dc:subject/>
  <dc:creator>CasusLegal</dc:creator>
  <cp:keywords/>
  <dc:description/>
  <cp:lastModifiedBy>CasusLegal</cp:lastModifiedBy>
  <cp:revision>1</cp:revision>
  <dcterms:created xsi:type="dcterms:W3CDTF">2026-08-16T11:29:07Z</dcterms:created>
  <dcterms:modified xsi:type="dcterms:W3CDTF">2026-08-16T11:29:07Z</dcterms:modified>
  <cp:category/>
</cp:coreProperties>
</file>