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Обзор судебной практики по спорам, связанным с договором финансовой аренды (лизинга), п. 13</w:t>
      </w:r>
    </w:p>
    <w:p>
      <w:pPr>
        <w:spacing w:after="40"/>
      </w:pPr>
      <w:r>
        <w:rPr>
          <w:rFonts w:ascii="Inter" w:hAnsi="Inter"/>
          <w:b/>
          <w:color w:val="8B8171"/>
          <w:sz w:val="18"/>
        </w:rPr>
        <w:t xml:space="preserve">Суд: </w:t>
      </w:r>
      <w:r>
        <w:rPr>
          <w:rFonts w:ascii="Inter" w:hAnsi="Inter"/>
          <w:color w:val="655D50"/>
          <w:sz w:val="18"/>
        </w:rPr>
        <w:t>Верховный Суд РФ (Президиум, обзор)</w:t>
      </w:r>
    </w:p>
    <w:p>
      <w:pPr>
        <w:spacing w:after="40"/>
      </w:pPr>
      <w:r>
        <w:rPr>
          <w:rFonts w:ascii="Inter" w:hAnsi="Inter"/>
          <w:b/>
          <w:color w:val="8B8171"/>
          <w:sz w:val="18"/>
        </w:rPr>
        <w:t xml:space="preserve">Дата: </w:t>
      </w:r>
      <w:r>
        <w:rPr>
          <w:rFonts w:ascii="Inter" w:hAnsi="Inter"/>
          <w:color w:val="655D50"/>
          <w:sz w:val="18"/>
        </w:rPr>
        <w:t>27.10.2021</w:t>
      </w:r>
    </w:p>
    <w:p>
      <w:pPr>
        <w:spacing w:after="40"/>
      </w:pPr>
      <w:r>
        <w:rPr>
          <w:rFonts w:ascii="Inter" w:hAnsi="Inter"/>
          <w:b/>
          <w:color w:val="8B8171"/>
          <w:sz w:val="18"/>
        </w:rPr>
        <w:t xml:space="preserve">Номер дела: </w:t>
      </w:r>
      <w:r>
        <w:rPr>
          <w:rFonts w:ascii="Inter" w:hAnsi="Inter"/>
          <w:color w:val="655D50"/>
          <w:sz w:val="18"/>
        </w:rPr>
        <w:t>утв. Президиумом Верховного Суда РФ 27.10.2021</w:t>
      </w:r>
    </w:p>
    <w:p>
      <w:pPr>
        <w:spacing w:after="40"/>
      </w:pPr>
      <w:r>
        <w:rPr>
          <w:rFonts w:ascii="Inter" w:hAnsi="Inter"/>
          <w:b/>
          <w:color w:val="8B8171"/>
          <w:sz w:val="18"/>
        </w:rPr>
        <w:t xml:space="preserve">Теги: </w:t>
      </w:r>
      <w:r>
        <w:rPr>
          <w:rFonts w:ascii="Inter" w:hAnsi="Inter"/>
          <w:color w:val="655D50"/>
          <w:sz w:val="18"/>
        </w:rPr>
        <w:t>договор лизинга, изъятие предмета лизинга, несоразмерность требований, ст. 450.1 ГК РФ, ст. 348 ГК РФ, обеспечительная функция права собственности, добросовестность (ст. 307 ГК РФ), Постановление Пленума ВАС РФ № 17, Постановление Пленума № 54, баланс имущественных интересов</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Суд вправе отказать в изъятии предмета лизинга у лизингополучателя при расторжении договора лизинга, если допущенное лизингополучателем нарушение незначительно, размер задолженности явно несоразмерен стоимости изымаемого имущества и лишение лизингополучателя возможности владеть и пользоваться предметом лизинга способно привести к наступлению для него значительных имущественных потерь.</w:t>
      </w:r>
    </w:p>
    <w:p>
      <w:pPr>
        <w:widowControl/>
        <w:spacing w:after="280" w:line="312" w:lineRule="auto"/>
        <w:ind w:firstLine="567"/>
        <w:jc w:val="both"/>
      </w:pPr>
      <w:r>
        <w:rPr>
          <w:rFonts w:ascii="Inter" w:hAnsi="Inter"/>
          <w:color w:val="655D50"/>
          <w:sz w:val="24"/>
        </w:rPr>
        <w:t>В связи с допущенной лизингополучателем просрочкой в уплате лизинговых платежей лизинговая компания направила лизингополучателю уведомление об одностороннем отказе от исполнения договора и потребовала вернуть предмет лизинга - гусеничный бульдозер. Получив отказ в удовлетворении данного требования, лизинговая компания обратилась в арбитражный суд с исковым заявлением, в котором просила изъять у лизингополучателя предмет лизинга в связи с прекращением действия договора.</w:t>
      </w:r>
    </w:p>
    <w:p>
      <w:pPr>
        <w:widowControl/>
        <w:spacing w:after="280" w:line="312" w:lineRule="auto"/>
        <w:ind w:firstLine="567"/>
        <w:jc w:val="both"/>
      </w:pPr>
      <w:r>
        <w:rPr>
          <w:rFonts w:ascii="Inter" w:hAnsi="Inter"/>
          <w:color w:val="655D50"/>
          <w:sz w:val="24"/>
        </w:rPr>
        <w:t>Суд первой инстанции, руководствуясь положениями п. 3 ст. 11, п. 2 ст. 13 Закона о лизинге, удовлетворил требование лизинговой компании об изъятии предмета лизинга у лизингополучателя, признав односторонний отказ лизингодателя от исполнения договора правомерным.</w:t>
      </w:r>
    </w:p>
    <w:p>
      <w:pPr>
        <w:widowControl/>
        <w:spacing w:after="280" w:line="312" w:lineRule="auto"/>
        <w:ind w:firstLine="567"/>
        <w:jc w:val="both"/>
      </w:pPr>
      <w:r>
        <w:rPr>
          <w:rFonts w:ascii="Inter" w:hAnsi="Inter"/>
          <w:color w:val="655D50"/>
          <w:sz w:val="24"/>
        </w:rPr>
        <w:t>Суд апелляционной инстанции отменил решение суда первой инстанции и отказал в удовлетворении требований лизинговой компании, обратив внимание на следующее.</w:t>
      </w:r>
    </w:p>
    <w:p>
      <w:pPr>
        <w:widowControl/>
        <w:spacing w:after="280" w:line="312" w:lineRule="auto"/>
        <w:ind w:firstLine="567"/>
        <w:jc w:val="both"/>
      </w:pPr>
      <w:r>
        <w:rPr>
          <w:rFonts w:ascii="Inter" w:hAnsi="Inter"/>
          <w:color w:val="655D50"/>
          <w:sz w:val="24"/>
        </w:rPr>
        <w:t>На основании п. 3 ст. 307, п. 4 ст. 450.1 ГК РФ при осуществлении стороной права на одностороннее изменение условий обязательства или односторонний отказ от исполнения договора она должна действовать разумно и добросовестно, учитывая права и законные интересы другой стороны.</w:t>
      </w:r>
    </w:p>
    <w:p>
      <w:pPr>
        <w:widowControl/>
        <w:spacing w:after="280" w:line="312" w:lineRule="auto"/>
        <w:ind w:firstLine="567"/>
        <w:jc w:val="both"/>
      </w:pPr>
      <w:r>
        <w:rPr>
          <w:rFonts w:ascii="Inter" w:hAnsi="Inter"/>
          <w:color w:val="655D50"/>
          <w:sz w:val="24"/>
        </w:rPr>
        <w:t>Как разъяснено в п. 14 постановления Пленума № 54, нарушение упомянутой обязанности может повлечь отказ в судебной защите названного права полностью или частично, в том числе признание ничтожным одностороннего изменения условий обязательства или одностороннего отказа от его исполнения.</w:t>
      </w:r>
    </w:p>
    <w:p>
      <w:pPr>
        <w:widowControl/>
        <w:spacing w:after="280" w:line="312" w:lineRule="auto"/>
        <w:ind w:firstLine="567"/>
        <w:jc w:val="both"/>
      </w:pPr>
      <w:r>
        <w:rPr>
          <w:rFonts w:ascii="Inter" w:hAnsi="Inter"/>
          <w:color w:val="655D50"/>
          <w:sz w:val="24"/>
        </w:rPr>
        <w:t>Исходя из положений ст. 2, п. 1 ст. 4 Закона о лизинге и с учетом разъяснений, данных в п. 2 постановления Пленума ВАС РФ № 17, в договоре выкупного лизинга сохранение за лизинговой компанией права собственности на предмет лизинга выполняет функцию обеспечения надлежащего исполнения договора лизингополучателем. Это означает, что по общему правилу право на односторонний отказ от договора и изъятие предмета лизинга реализуются лизингодателем в целях организации продажи предмета лизинга и удовлетворения требований к лизингополучателю за счет полученной от продажи выручки.</w:t>
      </w:r>
    </w:p>
    <w:p>
      <w:pPr>
        <w:widowControl/>
        <w:spacing w:after="280" w:line="312" w:lineRule="auto"/>
        <w:ind w:firstLine="567"/>
        <w:jc w:val="both"/>
      </w:pPr>
      <w:r>
        <w:rPr>
          <w:rFonts w:ascii="Inter" w:hAnsi="Inter"/>
          <w:color w:val="655D50"/>
          <w:sz w:val="24"/>
        </w:rPr>
        <w:t>С учетом общей обеспечительной природы права собственности лизингодателя и права залога по смыслу п. 1 ст. 6, п. 2 ст. 348 ГК РФ обращение взыскания на предмет лизинга не допускается, если размер требований лизингодателя, в обеспечение которого существует его право собственности, является явно несоразмерным стоимости предмета лизинга, а допущенное лизингополучателем нарушение незначительно. Если не доказано иное, то предполагается, что нарушение обязательства лизингополучателем незначительно и размер требований лизингодателя явно несоразмерен размеру предоставленного лизингополучателю финансирования при том, что одновременно соблюдены следующие условия:</w:t>
      </w:r>
    </w:p>
    <w:p>
      <w:pPr>
        <w:widowControl/>
        <w:spacing w:after="280" w:line="312" w:lineRule="auto"/>
        <w:ind w:firstLine="567"/>
        <w:jc w:val="both"/>
      </w:pPr>
      <w:r>
        <w:rPr>
          <w:rFonts w:ascii="Inter" w:hAnsi="Inter"/>
          <w:color w:val="655D50"/>
          <w:sz w:val="24"/>
        </w:rPr>
        <w:t>1) сумма неисполненного обязательства составляет менее чем 5% от размера стоимости предмета лизинга;</w:t>
      </w:r>
    </w:p>
    <w:p>
      <w:pPr>
        <w:widowControl/>
        <w:spacing w:after="280" w:line="312" w:lineRule="auto"/>
        <w:ind w:firstLine="567"/>
        <w:jc w:val="both"/>
      </w:pPr>
      <w:r>
        <w:rPr>
          <w:rFonts w:ascii="Inter" w:hAnsi="Inter"/>
          <w:color w:val="655D50"/>
          <w:sz w:val="24"/>
        </w:rPr>
        <w:t>2) период просрочки исполнения обязательства лизингополучателем составляет менее чем 3 месяца.</w:t>
      </w:r>
    </w:p>
    <w:p>
      <w:pPr>
        <w:widowControl/>
        <w:spacing w:after="280" w:line="312" w:lineRule="auto"/>
        <w:ind w:firstLine="567"/>
        <w:jc w:val="both"/>
      </w:pPr>
      <w:r>
        <w:rPr>
          <w:rFonts w:ascii="Inter" w:hAnsi="Inter"/>
          <w:color w:val="655D50"/>
          <w:sz w:val="24"/>
        </w:rPr>
        <w:t>При оценке допустимости изъятия предмета лизинга суд в любом случае (в том числе если сумма неисполненного обязательства превышает 5% от стоимости предмета лизинга) вправе учесть, не приведет ли лишение лизингополучателя возможности владеть и пользоваться предметом лизинга к наступлению для него значительных имущественных потерь и есть ли у лизингодателя возможность удовлетворения денежных требований в порядке исполнительного производства без изъятия имущества.</w:t>
      </w:r>
    </w:p>
    <w:p>
      <w:pPr>
        <w:widowControl/>
        <w:spacing w:after="280" w:line="312" w:lineRule="auto"/>
        <w:ind w:firstLine="567"/>
        <w:jc w:val="both"/>
      </w:pPr>
      <w:r>
        <w:rPr>
          <w:rFonts w:ascii="Inter" w:hAnsi="Inter"/>
          <w:color w:val="655D50"/>
          <w:sz w:val="24"/>
        </w:rPr>
        <w:t>При рассмотрении дела лизингополучатель подтвердил, что на дату рассмотрения спора сумма не уплаченных лизингополучателем лизинговых платежей и период допущенной просрочки являлись незначительными.</w:t>
      </w:r>
    </w:p>
    <w:p>
      <w:pPr>
        <w:widowControl/>
        <w:spacing w:after="280" w:line="312" w:lineRule="auto"/>
        <w:ind w:firstLine="567"/>
        <w:jc w:val="both"/>
      </w:pPr>
      <w:r>
        <w:rPr>
          <w:rFonts w:ascii="Inter" w:hAnsi="Inter"/>
          <w:color w:val="655D50"/>
          <w:sz w:val="24"/>
        </w:rPr>
        <w:t>Суд также принял во внимание, что предмет лизинга (гусеничный бульдозер) используется лизингополучателем для выполнения работ по нескольким договорам подряда, а изъятие предмета лизинга способно привести к невозможности исполнения данных договоров (утрате возможности получения дохода от их исполнения). Кроме того, лизинговая компания не лишена возможности требовать уплаты оставшейся суммы лизинговых платежей в общеустановленном порядке с использованием мер, применяемых в рамках исполнительного производства, поскольку лизингополучатель обладает иным имуществом, стоимость которого достаточна для удовлетворения требований лизинговой компании.</w:t>
      </w:r>
    </w:p>
    <w:p>
      <w:pPr>
        <w:widowControl/>
        <w:spacing w:after="280" w:line="312" w:lineRule="auto"/>
        <w:ind w:firstLine="567"/>
        <w:jc w:val="both"/>
      </w:pPr>
      <w:r>
        <w:rPr>
          <w:rFonts w:ascii="Inter" w:hAnsi="Inter"/>
          <w:color w:val="655D50"/>
          <w:sz w:val="24"/>
        </w:rPr>
        <w:t>При таких обстоятельствах односторонний отказ от исполнения договора и изъятие предмета лизинга у лизингополучателя недопустимы, поскольку являются несоразмерной мерой и могут нарушить баланс имущественных интересов сторон договора.</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"Обзор судебной практики по спорам, связанным с договором финансовой аренды (лизинга)", п. 13</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судебной практики по спорам, связанным с договором финансовой аренды (лизинга), п. 13</dc:title>
  <dc:subject/>
  <dc:creator>CasusLegal</dc:creator>
  <cp:keywords/>
  <dc:description/>
  <cp:lastModifiedBy>CasusLegal</cp:lastModifiedBy>
  <cp:revision>1</cp:revision>
  <dcterms:created xsi:type="dcterms:W3CDTF">2026-08-16T11:30:43Z</dcterms:created>
  <dcterms:modified xsi:type="dcterms:W3CDTF">2026-08-16T11:30:43Z</dcterms:modified>
  <cp:category/>
</cp:coreProperties>
</file>