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спорам, связанным с договором финансовой аренды (лизинга), п. 8</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27.10.2021</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27.10.2021</w:t>
      </w:r>
    </w:p>
    <w:p>
      <w:pPr>
        <w:spacing w:after="40"/>
      </w:pPr>
      <w:r>
        <w:rPr>
          <w:rFonts w:ascii="Inter" w:hAnsi="Inter"/>
          <w:b/>
          <w:color w:val="8B8171"/>
          <w:sz w:val="18"/>
        </w:rPr>
        <w:t xml:space="preserve">Теги: </w:t>
      </w:r>
      <w:r>
        <w:rPr>
          <w:rFonts w:ascii="Inter" w:hAnsi="Inter"/>
          <w:color w:val="655D50"/>
          <w:sz w:val="18"/>
        </w:rPr>
        <w:t>договор финансовой аренды (лизинг), существенное нарушение договора, расторжение договора, статья 450 ГК РФ, статья 15 Закона о лизинге, статья 19 Закона о лизинге, обязанность содействия лизингодателя, сальдо встречных предоставлений, недобросовестное поведение, статья 22 Закона о лизинге</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Уклонение лизингодателя от содействия лизингополучателю в предъявлении требований к продавцу при обнаружении существенных неустранимых недостатков предмета лизинга может быть признано существенным нарушением договора лизинга, при котором лизингополучатель вправе требовать его расторжения.</w:t>
      </w:r>
    </w:p>
    <w:p>
      <w:pPr>
        <w:widowControl/>
        <w:spacing w:after="280" w:line="312" w:lineRule="auto"/>
        <w:ind w:firstLine="567"/>
        <w:jc w:val="both"/>
      </w:pPr>
      <w:r>
        <w:rPr>
          <w:rFonts w:ascii="Inter" w:hAnsi="Inter"/>
          <w:color w:val="655D50"/>
          <w:sz w:val="24"/>
        </w:rPr>
        <w:t>Общество (лизингополучатель) в ходе использования переданного предмета лизинга (теплогенератора) выявило в нем существенные неустранимые недостатки, препятствующие его эксплуатации, и потребовало от продавца замены товара ненадлежащего качества товаром, соответствующим договору.</w:t>
      </w:r>
    </w:p>
    <w:p>
      <w:pPr>
        <w:widowControl/>
        <w:spacing w:after="280" w:line="312" w:lineRule="auto"/>
        <w:ind w:firstLine="567"/>
        <w:jc w:val="both"/>
      </w:pPr>
      <w:r>
        <w:rPr>
          <w:rFonts w:ascii="Inter" w:hAnsi="Inter"/>
          <w:color w:val="655D50"/>
          <w:sz w:val="24"/>
        </w:rPr>
        <w:t>Ответа от продавца не последовало, в связи с чем лизингополучатель обратился к лизинговой компании за согласием на предъявление продавцу требования о расторжении договора купли-продажи и возврате уплаченной за товар денежной суммы.</w:t>
      </w:r>
    </w:p>
    <w:p>
      <w:pPr>
        <w:widowControl/>
        <w:spacing w:after="280" w:line="312" w:lineRule="auto"/>
        <w:ind w:firstLine="567"/>
        <w:jc w:val="both"/>
      </w:pPr>
      <w:r>
        <w:rPr>
          <w:rFonts w:ascii="Inter" w:hAnsi="Inter"/>
          <w:color w:val="655D50"/>
          <w:sz w:val="24"/>
        </w:rPr>
        <w:t>Лизингодатель сообщил, что оборудование поставлено в соответствии с положениями договора лизинга, а также отметил, что все претензии относительно качества и комплектности предмета лизинга следует направлять непосредственно продавцу.</w:t>
      </w:r>
    </w:p>
    <w:p>
      <w:pPr>
        <w:widowControl/>
        <w:spacing w:after="280" w:line="312" w:lineRule="auto"/>
        <w:ind w:firstLine="567"/>
        <w:jc w:val="both"/>
      </w:pPr>
      <w:r>
        <w:rPr>
          <w:rFonts w:ascii="Inter" w:hAnsi="Inter"/>
          <w:color w:val="655D50"/>
          <w:sz w:val="24"/>
        </w:rPr>
        <w:t>Полагая, что лизингодатель допускает существенное нарушение договора лизинга, отказывая в даче согласия на расторжение договора купли-продажи в ситуации, когда лизингополучатель лишен возможности пользоваться предметом лизинга, лизингополучатель обратился в арбитражный суд с иском о расторжении договора, а также просил взыскать денежные средства, определив сальдо встречных предоставлений на основе закупочной стоимости предмета лизинга.</w:t>
      </w:r>
    </w:p>
    <w:p>
      <w:pPr>
        <w:widowControl/>
        <w:spacing w:after="280" w:line="312" w:lineRule="auto"/>
        <w:ind w:firstLine="567"/>
        <w:jc w:val="both"/>
      </w:pPr>
      <w:r>
        <w:rPr>
          <w:rFonts w:ascii="Inter" w:hAnsi="Inter"/>
          <w:color w:val="655D50"/>
          <w:sz w:val="24"/>
        </w:rPr>
        <w:t>Лизингодатель обратился в арбитражный суд со встречным иском о взыскании задолженности по лизинговым платежам.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иска отказано, встречный иск удовлетворен.</w:t>
      </w:r>
    </w:p>
    <w:p>
      <w:pPr>
        <w:widowControl/>
        <w:spacing w:after="280" w:line="312" w:lineRule="auto"/>
        <w:ind w:firstLine="567"/>
        <w:jc w:val="both"/>
      </w:pPr>
      <w:r>
        <w:rPr>
          <w:rFonts w:ascii="Inter" w:hAnsi="Inter"/>
          <w:color w:val="655D50"/>
          <w:sz w:val="24"/>
        </w:rPr>
        <w:t>Суды исходили из того, что в силу п. 2 ст. 22 Закона о лизинге лизингополучатель, который выбрал продавца предмета лизинга, несет риск всех связанных с этим последствий в случае невозможности использования предмета лизинга и не может требовать расторжения договора лизинга по данному основанию.</w:t>
      </w:r>
    </w:p>
    <w:p>
      <w:pPr>
        <w:widowControl/>
        <w:spacing w:after="280" w:line="312" w:lineRule="auto"/>
        <w:ind w:firstLine="567"/>
        <w:jc w:val="both"/>
      </w:pPr>
      <w:r>
        <w:rPr>
          <w:rFonts w:ascii="Inter" w:hAnsi="Inter"/>
          <w:color w:val="655D50"/>
          <w:sz w:val="24"/>
        </w:rPr>
        <w:t>Арбитражный суд округа отменил указанные судебные акты, удовлетворил заявленные требования и отказал в удовлетворении встречного иска, обратив внимание на следующее.</w:t>
      </w:r>
    </w:p>
    <w:p>
      <w:pPr>
        <w:widowControl/>
        <w:spacing w:after="280" w:line="312" w:lineRule="auto"/>
        <w:ind w:firstLine="567"/>
        <w:jc w:val="both"/>
      </w:pPr>
      <w:r>
        <w:rPr>
          <w:rFonts w:ascii="Inter" w:hAnsi="Inter"/>
          <w:color w:val="655D50"/>
          <w:sz w:val="24"/>
        </w:rPr>
        <w:t>Наличие в Законе о лизинге специальных правил о распределении рисков при исполнении договора лизинга само по себе не препятствует применению общих положений главы 29 ГК РФ об изменении и расторжении договора.</w:t>
      </w:r>
    </w:p>
    <w:p>
      <w:pPr>
        <w:widowControl/>
        <w:spacing w:after="280" w:line="312" w:lineRule="auto"/>
        <w:ind w:firstLine="567"/>
        <w:jc w:val="both"/>
      </w:pPr>
      <w:r>
        <w:rPr>
          <w:rFonts w:ascii="Inter" w:hAnsi="Inter"/>
          <w:color w:val="655D50"/>
          <w:sz w:val="24"/>
        </w:rPr>
        <w:t>В частности, в силу подп. 1 п. 2 ст. 450 ГК РФ по требованию одной из сторон договор может быть изменен или расторгнут по решению суда при существенном нарушении договора другой стороной. При этом существенным признается нарушение одной из сторон договора,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pPr>
        <w:widowControl/>
        <w:spacing w:after="280" w:line="312" w:lineRule="auto"/>
        <w:ind w:firstLine="567"/>
        <w:jc w:val="both"/>
      </w:pPr>
      <w:r>
        <w:rPr>
          <w:rFonts w:ascii="Inter" w:hAnsi="Inter"/>
          <w:color w:val="655D50"/>
          <w:sz w:val="24"/>
        </w:rPr>
        <w:t>По смыслу п. 4 ст. 15, п. 1 ст. 19 Закона о лизинге обязанностью лизингодателя является содействие в приобретении лизингополучателем имущества, необходимого для ведения его экономической деятельности.</w:t>
      </w:r>
    </w:p>
    <w:p>
      <w:pPr>
        <w:widowControl/>
        <w:spacing w:after="280" w:line="312" w:lineRule="auto"/>
        <w:ind w:firstLine="567"/>
        <w:jc w:val="both"/>
      </w:pPr>
      <w:r>
        <w:rPr>
          <w:rFonts w:ascii="Inter" w:hAnsi="Inter"/>
          <w:color w:val="655D50"/>
          <w:sz w:val="24"/>
        </w:rPr>
        <w:t>Недобросовестное уклонение лизингодателя от содействия лизингополучателю, в отсутствие которого не может быть достигнут имущественный интерес последнего, может рассматриваться в качестве существенного нарушения договора. В связи с этим лизингополучатель правомерно обратился в суд за расторжением договора.</w:t>
      </w:r>
    </w:p>
    <w:p>
      <w:pPr>
        <w:widowControl/>
        <w:spacing w:after="280" w:line="312" w:lineRule="auto"/>
        <w:ind w:firstLine="567"/>
        <w:jc w:val="both"/>
      </w:pPr>
      <w:r>
        <w:rPr>
          <w:rFonts w:ascii="Inter" w:hAnsi="Inter"/>
          <w:color w:val="655D50"/>
          <w:sz w:val="24"/>
        </w:rPr>
        <w:t>Определяя последствия расторжения договора лизинга и рассчитывая сальдо встречных предоставлений, суд пришел к выводу об определении стоимости предмета лизинга исходя из его закупочной стоимости, принимая во внимание возможность расторжения договора купли-продажи лизингодателем и возврата предмета лизинга ненадлежащего качества продавцу. Кроме того, учитывая недобросовестное поведение лизингодателя, суд счел недопустимым возложение на лизингополучателя неблагоприятных последствий, связанных с несоответствием фактической стоимости предмета лизинга ненадлежащего качества цене, установленной в договоре купли-продажи.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спорам, связанным с договором финансовой аренды (лизинга)", п. 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спорам, связанным с договором финансовой аренды (лизинга), п. 8</dc:title>
  <dc:subject/>
  <dc:creator>CasusLegal</dc:creator>
  <cp:keywords/>
  <dc:description/>
  <cp:lastModifiedBy>CasusLegal</cp:lastModifiedBy>
  <cp:revision>1</cp:revision>
  <dcterms:created xsi:type="dcterms:W3CDTF">2026-08-16T11:31:06Z</dcterms:created>
  <dcterms:modified xsi:type="dcterms:W3CDTF">2026-08-16T11:31:06Z</dcterms:modified>
  <cp:category/>
</cp:coreProperties>
</file>