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2400" cy="15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Cluade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Cormorant Garamond" w:hAnsi="Cormorant Garamond"/>
          <w:b/>
          <w:color w:val="B63A26"/>
          <w:sz w:val="36"/>
        </w:rPr>
        <w:t>Casus</w:t>
      </w:r>
      <w:r>
        <w:rPr>
          <w:rFonts w:ascii="Cormorant Garamond" w:hAnsi="Cormorant Garamond"/>
          <w:b/>
          <w:color w:val="655D50"/>
          <w:sz w:val="36"/>
        </w:rPr>
        <w:t>Legal</w:t>
      </w:r>
    </w:p>
    <w:p>
      <w:pPr>
        <w:spacing w:before="160" w:after="120"/>
      </w:pPr>
      <w:r>
        <w:rPr>
          <w:rFonts w:ascii="Cormorant Garamond" w:hAnsi="Cormorant Garamond"/>
          <w:b/>
          <w:color w:val="3F3931"/>
          <w:sz w:val="28"/>
        </w:rPr>
        <w:t>Обзор судебной практики разрешения споров о несостоятельности (банкротстве) за 2022 г., п. 20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Суд: </w:t>
      </w:r>
      <w:r>
        <w:rPr>
          <w:rFonts w:ascii="Inter" w:hAnsi="Inter"/>
          <w:color w:val="655D50"/>
          <w:sz w:val="18"/>
        </w:rPr>
        <w:t>Верховный Суд РФ (Президиум, обзор)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Дата: </w:t>
      </w:r>
      <w:r>
        <w:rPr>
          <w:rFonts w:ascii="Inter" w:hAnsi="Inter"/>
          <w:color w:val="655D50"/>
          <w:sz w:val="18"/>
        </w:rPr>
        <w:t>26.04.2023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Номер дела: </w:t>
      </w:r>
      <w:r>
        <w:rPr>
          <w:rFonts w:ascii="Inter" w:hAnsi="Inter"/>
          <w:color w:val="655D50"/>
          <w:sz w:val="18"/>
        </w:rPr>
        <w:t>утв. Президиумом Верховного Суда РФ 26.04.2023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Применённые нормы: </w:t>
      </w:r>
      <w:r>
        <w:rPr>
          <w:rFonts w:ascii="Inter" w:hAnsi="Inter"/>
          <w:color w:val="655D50"/>
          <w:sz w:val="18"/>
        </w:rPr>
        <w:t>ст. 113 Закона о банкротстве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Теги: </w:t>
      </w:r>
      <w:r>
        <w:rPr>
          <w:rFonts w:ascii="Inter" w:hAnsi="Inter"/>
          <w:color w:val="655D50"/>
          <w:sz w:val="18"/>
        </w:rPr>
        <w:t>банкротство, поручительство, суброгация, процессуальная замена, ст. 365 ГК РФ, ст. 387 ГК РФ, ст. 113 Закона о банкротстве, ст. 125 Закона о банкротстве, транзитное движение денежных средств, реестр требований кредиторов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Позиция суда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Исполнение поручителем обязательств заемщика перед кредитором за счет средств, предоставленных третьим лицом, не препятствует замене кредитора на поручителя в деле о банкротстве заемщика.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рамках дела о банкротстве общества в реестр требований его кредиторов включены требования банка.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обеспечение исполнения обществом обязательств по кредиту между банком и поручителем заключен договор поручительства.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отношении поручителя возбуждено дело о банкротстве по заявлению банка, требования банка включены в третью очередь реестра. Впоследствии производство по делу о банкротстве поручителя прекращено в связи с удовлетворением требований кредиторов, в том числе банка, третьим лицом в порядке, предусмотренном статьями 113 и 125 Закона о банкротстве.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Данные обстоятельства послужили основанием для обращения поручителя в арбитражный суд с заявлением о процессуальной замене банка на поручителя в деле о банкротстве общества (заемщика).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Отказывая в удовлетворении заявления, суды исходили из того, что к поручителю не перешло право требования в порядке суброгации, поскольку в рамках дела о его банкротстве требования кредиторов погашены третьим лицом.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Судебная коллегия Верховного Суда Российской Федерации отменила судебные акты и направила обособленный спор на новое рассмотрение по следующим основаниям.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Согласно положениям статей 365 и 387 ГК РФ к поручителю, исполнившему обязательство, в силу закона переходят права кредитора по этому обязательству.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Поручитель ссылался на то, что обязательства должника по кредитному договору исполнены им за счет денежных средств, предоставленных третьим лицом в порядке, предусмотренном статьями 113 и 125 Закона о банкротстве.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силу общего правила пункта 14 статьи 113 Закона о банкротстве денежные средства третьего лица считаются предоставленными поручителю на условиях договора беспроцентного займа. После предоставления займа денежные средства попали в имущественную массу поручителя, который (в лице финансового управляющего) направил их на расчеты с кредиторами, в том числе с банком.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Следовательно, состоявшееся исполнение обязательства перед банком должно квалифицироваться как осуществленное уже за счет средств самого поручителя, что, в свою очередь, влечет суброгацию. При этом источник средств, которые поручитель направил для исполнения этого обязательства, значения не имеет: это могли быть как его собственные средства, так и привлеченные (если только не имело место их транзитное движение).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 таких условиях выводы судов об отсутствии оснований для процессуальной замены являются ошибочными.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Иные положения акта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"Обзор судебной практики разрешения споров о несостоятельности (банкротстве) за 2022 г.", п. 20</w:t>
      </w:r>
    </w:p>
    <w:p>
      <w:pPr>
        <w:spacing w:before="360"/>
      </w:pPr>
      <w:r>
        <w:rPr>
          <w:rFonts w:ascii="Inter" w:hAnsi="Inter"/>
          <w:i/>
          <w:color w:val="8B8171"/>
          <w:sz w:val="15"/>
        </w:rPr>
        <w:t>Документ сформирован сервисом CasusLegal на основе официального текста судебного акта. Для использования в процессуальных целях сверяйтесь с официальными источниками опубликования.</w:t>
      </w:r>
    </w:p>
    <w:sectPr w:rsidR="00FC693F" w:rsidRPr="0006063C" w:rsidSect="00034616">
      <w:footerReference w:type="default" r:id="rId10"/>
      <w:pgSz w:w="12240" w:h="15840"/>
      <w:pgMar w:top="1157" w:right="1134" w:bottom="1157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762" w:val="center"/>
        <w:tab w:pos="9524" w:val="right"/>
      </w:tabs>
      <w:jc w:val="left"/>
    </w:pPr>
    <w:r>
      <w:tab/>
    </w:r>
    <w:hyperlink r:id="rId1">
      <w:r>
        <w:rPr>
          <w:rFonts w:ascii="Inter" w:hAnsi="Inter"/>
          <w:color w:val="B63A26"/>
          <w:sz w:val="16"/>
        </w:rPr>
        <w:t>@CasusLegalBot</w:t>
      </w:r>
    </w:hyperlink>
    <w:r>
      <w:tab/>
    </w:r>
    <w:r>
      <w:rPr>
        <w:rFonts w:ascii="Inter" w:hAnsi="Inter"/>
        <w:color w:val="8B8171"/>
        <w:sz w:val="24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655D5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.me/CasusLegal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CasusLegal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CasusLegal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Обзор судебной практики разрешения споров о несостоятельности (банкротстве) за 2022 г., п. 20</dc:title>
  <dc:subject/>
  <dc:creator>CasusLegal</dc:creator>
  <cp:keywords/>
  <dc:description/>
  <cp:lastModifiedBy>CasusLegal</cp:lastModifiedBy>
  <cp:revision>1</cp:revision>
  <dcterms:created xsi:type="dcterms:W3CDTF">2026-08-16T11:30:42Z</dcterms:created>
  <dcterms:modified xsi:type="dcterms:W3CDTF">2026-08-16T11:30:42Z</dcterms:modified>
  <cp:category/>
</cp:coreProperties>
</file>