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152400" cy="1524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Cluade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ascii="Cormorant Garamond" w:hAnsi="Cormorant Garamond"/>
          <w:b/>
          <w:color w:val="B63A26"/>
          <w:sz w:val="36"/>
        </w:rPr>
        <w:t>Casus</w:t>
      </w:r>
      <w:r>
        <w:rPr>
          <w:rFonts w:ascii="Cormorant Garamond" w:hAnsi="Cormorant Garamond"/>
          <w:b/>
          <w:color w:val="655D50"/>
          <w:sz w:val="36"/>
        </w:rPr>
        <w:t>Legal</w:t>
      </w:r>
    </w:p>
    <w:p>
      <w:pPr>
        <w:spacing w:before="160" w:after="120"/>
      </w:pPr>
      <w:r>
        <w:rPr>
          <w:rFonts w:ascii="Cormorant Garamond" w:hAnsi="Cormorant Garamond"/>
          <w:b/>
          <w:color w:val="3F3931"/>
          <w:sz w:val="28"/>
        </w:rPr>
        <w:t>Обзор судебной практики по делам о защите прав потребителей, п. 10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Суд: </w:t>
      </w:r>
      <w:r>
        <w:rPr>
          <w:rFonts w:ascii="Inter" w:hAnsi="Inter"/>
          <w:color w:val="655D50"/>
          <w:sz w:val="18"/>
        </w:rPr>
        <w:t>Верховный Суд РФ (Президиум, обзор)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Дата: </w:t>
      </w:r>
      <w:r>
        <w:rPr>
          <w:rFonts w:ascii="Inter" w:hAnsi="Inter"/>
          <w:color w:val="655D50"/>
          <w:sz w:val="18"/>
        </w:rPr>
        <w:t>23.10.2024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Номер дела: </w:t>
      </w:r>
      <w:r>
        <w:rPr>
          <w:rFonts w:ascii="Inter" w:hAnsi="Inter"/>
          <w:color w:val="655D50"/>
          <w:sz w:val="18"/>
        </w:rPr>
        <w:t>утв. Президиумом Верховного Суда РФ 23.10.2024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Применённые нормы: </w:t>
      </w:r>
      <w:r>
        <w:rPr>
          <w:rFonts w:ascii="Inter" w:hAnsi="Inter"/>
          <w:color w:val="655D50"/>
          <w:sz w:val="18"/>
        </w:rPr>
        <w:t>ст. 15 ГК РФ, ст. 307 ГК РФ, ст. 393 ГК РФ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Теги: </w:t>
      </w:r>
      <w:r>
        <w:rPr>
          <w:rFonts w:ascii="Inter" w:hAnsi="Inter"/>
          <w:color w:val="655D50"/>
          <w:sz w:val="18"/>
        </w:rPr>
        <w:t>защита прав потребителей, технологическое присоединение, договор о подключении, расторжение договора, убытки, реальный ущерб, статья 393 ГК РФ, статья 15 ГК РФ, ограничение размера убытков, плата по договору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Позиция суда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При расторжении договора о подключении (технологическом присоединении) объекта индивидуального жилищного строительства в связи с нарушением условий договора гражданином (заказчиком) с него не могут быть взысканы фактически понесенные исполнителем расходы в размере, превышающем плату по договору о технологическом присоединении.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Сетевая организация (исполнитель) обратилась в суд с иском к М. (заказчик) о расторжении договора о подключении (технологическом присоединении) объекта капитального строительства, взыскании фактически понесенных расходов и расходов по уплате государственной пошлины.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обоснование требований истец ссылался на то, что для выполнения договора подключения и осуществления технологического присоединения на объекте капитального строительства истцом в полном объеме проведены работы по проектированию, фактическому осуществлению строительно-монтажных работ до границ земельного участка ответчика, регистрация созданной сети газопровода, что подтверждается выпиской из ЕГРН. Ответчик в нарушение условий договора не выполнил проектные и строительно-монтажные работы, подготовку сети газораспределения и газоиспользующего оборудования к подключению (технологическому присоединению).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 первой инстанции, удовлетворяя исковые требования, пришел к выводу, что заключенный между сторонами договор подлежит расторжению, поскольку допущенные ответчиком нарушения условий договора, выразившиеся в неисполнении встречных обязательств, с учетом истечения предельных сроков выполнения технологического присоединения являются существенными. Также, установив, что истцом понесены расходы в период исполнения обязательств по договору в размере 348 354,57 руб., взыскал с ответчика фактически понесенные расходы за вычетом уплаченной им при заключении договора суммы в размере 20 000 руб.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 выводами суда первой инстанции согласились суды апелляционной и кассационной инстанций.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Судебная коллегия по гражданским делам Верховного Суда РФ отменила состоявшиеся по делу судебные постановления и направила дело на новое рассмотрение в суд первой инстанции по следующим основаниям.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Согласно статье 307 ГК РФ в силу обязательства одно лицо (должник) обязано совершить в пользу другого лица (кредитора) определенное действие, как то: передать имущество, выполнить работу, оказать услугу, внести вклад в совместную деятельность, уплатить деньги и т.п. - либо воздержаться от определенного действия, а кредитор имеет право требовать от должника исполнения его обязанности. Обязательства возникают из договоров и других сделок, вследствие причинения вреда, вследствие неосновательного обогащения, а также из иных оснований, указанных в данном кодексе. При установлении, исполнении обязательства и после его прекращения стороны обязаны действовать добросовестно, учитывая права и законные интересы друг друга, взаимно оказывая необходимое содействие для достижения цели обязательства, а также предоставляя друг другу необходимую информацию (пункты 1 - 3).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На основании пункта 1 статьи 393 ГК РФ должник обязан возместить кредитору убытки, причиненные неисполнением или ненадлежащим исполнением обязательства, где под убытками согласно пункту 2 статьи 15 ГК РФ понимается в том числе реальный ущерб - расходы, которые лицо, чье право нарушено, произвело или должно будет произвести для восстановления нарушенного права, утрата или повреждение его имущества.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Возмещение убытков в полном размере означает, что в результате их возмещения кредитор должен быть поставлен в положение, в котором он находился бы, если бы обязательство было исполнено надлежащим образом (пункт 2 статьи 393 ГК РФ).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 данному делу при надлежащем исполнении ответчиком обязательства истцом была бы получена плата за технологическое присоединение, определенная договором.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Таким образом, по смыслу приведенных выше норм права при расторжении договора о подключении (технологическом присоединении) объекта капитального строительства в связи с невыполнением его условий заказчиком, с последнего могут быть взысканы фактически понесенные сетевой организацией расходы, но не свыше платы по договору.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заключенном сторонами договоре на подключение (технологическое присоединение) объекта капитального строительства определено, что размер платы за технологическое присоединение газоиспользующего оборудования к сетям газораспределения утвержден постановлением региональной службы по тарифам Пермского края, составляет 40 000 руб. и указан в постановлении РСТ Пермского края от 29 июля 2015 г. № 40-тп.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 учетом изложенного Судебная коллегия по гражданским делам Верховного Суда РФ признала ошибочными выводы суда апелляционной инстанции о включении в размер убытков сетевой организации доходов, выпадающих в связи с невключением в тарифы на услуги расходов по строительству сетей.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 Судебной коллегии по гражданским делам Верховного Суда РФ от 14 мая 2024 г. № 44-КГ24-2-К7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Иные положения акта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"Обзор судебной практики по делам о защите прав потребителей", п. 10</w:t>
      </w:r>
    </w:p>
    <w:p>
      <w:pPr>
        <w:spacing w:before="360"/>
      </w:pPr>
      <w:r>
        <w:rPr>
          <w:rFonts w:ascii="Inter" w:hAnsi="Inter"/>
          <w:i/>
          <w:color w:val="8B8171"/>
          <w:sz w:val="15"/>
        </w:rPr>
        <w:t>Документ сформирован сервисом CasusLegal на основе официального текста судебного акта. Для использования в процессуальных целях сверяйтесь с официальными источниками опубликования.</w:t>
      </w:r>
    </w:p>
    <w:sectPr w:rsidR="00FC693F" w:rsidRPr="0006063C" w:rsidSect="00034616">
      <w:footerReference w:type="default" r:id="rId10"/>
      <w:pgSz w:w="12240" w:h="15840"/>
      <w:pgMar w:top="1157" w:right="1134" w:bottom="1157" w:left="158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4762" w:val="center"/>
        <w:tab w:pos="9524" w:val="right"/>
      </w:tabs>
      <w:jc w:val="left"/>
    </w:pPr>
    <w:r>
      <w:tab/>
    </w:r>
    <w:hyperlink r:id="rId1">
      <w:r>
        <w:rPr>
          <w:rFonts w:ascii="Inter" w:hAnsi="Inter"/>
          <w:color w:val="B63A26"/>
          <w:sz w:val="16"/>
        </w:rPr>
        <w:t>@CasusLegalBot</w:t>
      </w:r>
    </w:hyperlink>
    <w:r>
      <w:tab/>
    </w:r>
    <w:r>
      <w:rPr>
        <w:rFonts w:ascii="Inter" w:hAnsi="Inter"/>
        <w:color w:val="8B8171"/>
        <w:sz w:val="24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/>
      <w:color w:val="655D5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t.me/CasusLegalB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CasusLegal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CasusLegal</Company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Обзор судебной практики по делам о защите прав потребителей, п. 10</dc:title>
  <dc:subject/>
  <dc:creator>CasusLegal</dc:creator>
  <cp:keywords/>
  <dc:description/>
  <cp:lastModifiedBy>CasusLegal</cp:lastModifiedBy>
  <cp:revision>1</cp:revision>
  <dcterms:created xsi:type="dcterms:W3CDTF">2026-08-16T11:32:43Z</dcterms:created>
  <dcterms:modified xsi:type="dcterms:W3CDTF">2026-08-16T11:32:43Z</dcterms:modified>
  <cp:category/>
</cp:coreProperties>
</file>