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22.05.2026 № 309-ЭС25-15678 по делу № А47-10662/2024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22.05.2026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22.05.2026 № 309-ЭС25-15678 по делу № А47-10662/2024</w:t>
      </w:r>
    </w:p>
    <w:p>
      <w:pPr>
        <w:spacing w:after="40"/>
      </w:pPr>
      <w:r>
        <w:rPr>
          <w:rFonts w:ascii="Inter" w:hAnsi="Inter"/>
          <w:b/>
          <w:color w:val="8B8171"/>
          <w:sz w:val="18"/>
        </w:rPr>
        <w:t xml:space="preserve">Применённые нормы: </w:t>
      </w:r>
      <w:r>
        <w:rPr>
          <w:rFonts w:ascii="Inter" w:hAnsi="Inter"/>
          <w:color w:val="655D50"/>
          <w:sz w:val="18"/>
        </w:rPr>
        <w:t>ст. 1 ФЗ, ст. 11 ФЗ, ст. 14.32 КоАП РФ, ст. 169 ГК РФ, ст. 24.5 КОАП РФ, ст. 291.11 АПК РФ, ст. 291.14 АПК РФ, ст. 49 АПК РФ, ст. 52 АПК РФ</w:t>
      </w:r>
    </w:p>
    <w:p>
      <w:pPr>
        <w:spacing w:after="40"/>
      </w:pPr>
      <w:r>
        <w:rPr>
          <w:rFonts w:ascii="Inter" w:hAnsi="Inter"/>
          <w:b/>
          <w:color w:val="8B8171"/>
          <w:sz w:val="18"/>
        </w:rPr>
        <w:t xml:space="preserve">Теги: </w:t>
      </w:r>
      <w:r>
        <w:rPr>
          <w:rFonts w:ascii="Inter" w:hAnsi="Inter"/>
          <w:color w:val="655D50"/>
          <w:sz w:val="18"/>
        </w:rPr>
        <w:t>Картельное соглашение, Ничтожная сделка, Взыскание дохода в бюджет, Солидарная ответственность, Антимонопольное законодательство, Статья 169 ГК РФ, Защита конкуренции, Иск прокурора</w:t>
      </w:r>
    </w:p>
    <w:p>
      <w:pPr>
        <w:widowControl/>
        <w:spacing w:after="280" w:line="312" w:lineRule="auto"/>
        <w:ind w:firstLine="567"/>
        <w:jc w:val="both"/>
      </w:pPr>
      <w:r>
        <w:rPr>
          <w:rFonts w:ascii="Inter" w:hAnsi="Inter"/>
          <w:color w:val="655D50"/>
          <w:sz w:val="24"/>
        </w:rPr>
        <w:t>Категория: Гражданско-правовые договоры. Требования стороны: О признании недействительной сделки и применении последствий ее недействительности.</w:t>
      </w:r>
    </w:p>
    <w:p>
      <w:pPr>
        <w:widowControl/>
        <w:spacing w:after="280" w:line="312" w:lineRule="auto"/>
        <w:ind w:firstLine="567"/>
        <w:jc w:val="both"/>
      </w:pPr>
      <w:r>
        <w:rPr>
          <w:rFonts w:ascii="Inter" w:hAnsi="Inter"/>
          <w:color w:val="655D50"/>
          <w:sz w:val="24"/>
        </w:rPr>
        <w:t>По мнению прокуратуры, действия хозяйствующих субъектов, нацеленные на незаконное извлечение дохода за счет бюджетных средств, создали угрозу экономической безопасности государства.</w:t>
      </w:r>
    </w:p>
    <w:p>
      <w:pPr>
        <w:widowControl/>
        <w:spacing w:after="280" w:line="312" w:lineRule="auto"/>
        <w:ind w:firstLine="567"/>
        <w:jc w:val="both"/>
      </w:pPr>
      <w:r>
        <w:rPr>
          <w:rFonts w:ascii="Inter" w:hAnsi="Inter"/>
          <w:color w:val="655D50"/>
          <w:sz w:val="24"/>
        </w:rPr>
        <w:t>Резолютивная часть определения объявлена 20 мая 2026 г.</w:t>
      </w:r>
    </w:p>
    <w:p>
      <w:pPr>
        <w:widowControl/>
        <w:spacing w:after="280" w:line="312" w:lineRule="auto"/>
        <w:ind w:firstLine="567"/>
        <w:jc w:val="both"/>
      </w:pPr>
      <w:r>
        <w:rPr>
          <w:rFonts w:ascii="Inter" w:hAnsi="Inter"/>
          <w:color w:val="655D50"/>
          <w:sz w:val="24"/>
        </w:rPr>
        <w:t>Полный текст определения изготовлен 22 мая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Завьяловой Т.В.,</w:t>
      </w:r>
    </w:p>
    <w:p>
      <w:pPr>
        <w:widowControl/>
        <w:spacing w:after="280" w:line="312" w:lineRule="auto"/>
        <w:ind w:firstLine="567"/>
        <w:jc w:val="both"/>
      </w:pPr>
      <w:r>
        <w:rPr>
          <w:rFonts w:ascii="Inter" w:hAnsi="Inter"/>
          <w:color w:val="655D50"/>
          <w:sz w:val="24"/>
        </w:rPr>
        <w:t>судей Антоновой М.К., Якимова А.А.</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кассационному представлению Заместителя Генерального прокурора Российской Федерации на решение Арбитражного суда Оренбургской области от 28 марта 2025 г., постановление Восемнадцатого арбитражного апелляционного суда от 30 июля 2025 г. и постановление Арбитражного суда Уральского округа от 27 октября 2025 г. по делу № А47-10662/2024,</w:t>
      </w:r>
    </w:p>
    <w:p>
      <w:pPr>
        <w:widowControl/>
        <w:spacing w:after="280" w:line="312" w:lineRule="auto"/>
        <w:ind w:firstLine="567"/>
        <w:jc w:val="both"/>
      </w:pPr>
      <w:r>
        <w:rPr>
          <w:rFonts w:ascii="Inter" w:hAnsi="Inter"/>
          <w:color w:val="655D50"/>
          <w:sz w:val="24"/>
        </w:rPr>
        <w:t>по заявлению Первого заместителя прокурора Оренбургской области к обществам с ограниченной ответственностью (далее - общество) "Заря", "СКС", "СтройГрупп", "ОренСтройМонтаж", "ВМ Капитал" о признании недействительной сделки - картеля (ограничивающего конкуренцию соглашения), в результате которой общество "СКС" признано победителем аукциона № 0853500000320002431, общество "Заря" признано победителем по аукционам № 0153300066920000345, № 0153300066920000478, № 0153300066920000902, общество "ВМ Капитал" признано победителем по аукционам № 0153300004520000018, № 0153300066921001448, и применении последствий недействительности сделки в виде взыскания с обществ "Заря", "СКС", "ВМ Капитал", "ОренСтройМонтаж", "СтройГрупп" солидарно в доход Российской Федерации 314 722 515 рублей дохода, полученного в результате реализации запрещенного антимонопольным законодательством соглашения - картеля,</w:t>
      </w:r>
    </w:p>
    <w:p>
      <w:pPr>
        <w:widowControl/>
        <w:spacing w:after="280" w:line="312" w:lineRule="auto"/>
        <w:ind w:firstLine="567"/>
        <w:jc w:val="both"/>
      </w:pPr>
      <w:r>
        <w:rPr>
          <w:rFonts w:ascii="Inter" w:hAnsi="Inter"/>
          <w:color w:val="655D50"/>
          <w:sz w:val="24"/>
        </w:rPr>
        <w:t>при участии в деле в качестве третьих лиц, не заявляющих самостоятельных требований относительно предмета спора: Управления Федеральной антимонопольной службы по Оренбургской области, Департамента градостроительства и земельных отношений администрации г. Оренбурга, администраций муниципальных образований Чкаловский сельсовет, Нижнепавловский сельсовет Оренбургского района Оренбургской области, Администрации муниципального образования Оренбургского района Оренбургской области, администрации Южного округа города Оренбурга.</w:t>
      </w:r>
    </w:p>
    <w:p>
      <w:pPr>
        <w:widowControl/>
        <w:spacing w:after="280" w:line="312" w:lineRule="auto"/>
        <w:ind w:firstLine="567"/>
        <w:jc w:val="both"/>
      </w:pPr>
      <w:r>
        <w:rPr>
          <w:rFonts w:ascii="Inter" w:hAnsi="Inter"/>
          <w:color w:val="655D50"/>
          <w:sz w:val="24"/>
        </w:rPr>
        <w:t>В судебном заседании приняли участие представители:</w:t>
      </w:r>
    </w:p>
    <w:p>
      <w:pPr>
        <w:widowControl/>
        <w:spacing w:after="280" w:line="312" w:lineRule="auto"/>
        <w:ind w:firstLine="567"/>
        <w:jc w:val="both"/>
      </w:pPr>
      <w:r>
        <w:rPr>
          <w:rFonts w:ascii="Inter" w:hAnsi="Inter"/>
          <w:color w:val="655D50"/>
          <w:sz w:val="24"/>
        </w:rPr>
        <w:t>от Генеральной прокуратуры Российской Федерации - Слободин С.А.;</w:t>
      </w:r>
    </w:p>
    <w:p>
      <w:pPr>
        <w:widowControl/>
        <w:spacing w:after="280" w:line="312" w:lineRule="auto"/>
        <w:ind w:firstLine="567"/>
        <w:jc w:val="both"/>
      </w:pPr>
      <w:r>
        <w:rPr>
          <w:rFonts w:ascii="Inter" w:hAnsi="Inter"/>
          <w:color w:val="655D50"/>
          <w:sz w:val="24"/>
        </w:rPr>
        <w:t>от общества с ограниченной ответственностью "СКС" - Морозов А.И.;</w:t>
      </w:r>
    </w:p>
    <w:p>
      <w:pPr>
        <w:widowControl/>
        <w:spacing w:after="280" w:line="312" w:lineRule="auto"/>
        <w:ind w:firstLine="567"/>
        <w:jc w:val="both"/>
      </w:pPr>
      <w:r>
        <w:rPr>
          <w:rFonts w:ascii="Inter" w:hAnsi="Inter"/>
          <w:color w:val="655D50"/>
          <w:sz w:val="24"/>
        </w:rPr>
        <w:t>от общества с ограниченной ответственностью "СтройГрупп" - Иванов И.П.;</w:t>
      </w:r>
    </w:p>
    <w:p>
      <w:pPr>
        <w:widowControl/>
        <w:spacing w:after="280" w:line="312" w:lineRule="auto"/>
        <w:ind w:firstLine="567"/>
        <w:jc w:val="both"/>
      </w:pPr>
      <w:r>
        <w:rPr>
          <w:rFonts w:ascii="Inter" w:hAnsi="Inter"/>
          <w:color w:val="655D50"/>
          <w:sz w:val="24"/>
        </w:rPr>
        <w:t>посредством использования системы веб-конференции: от общества с ограниченной ответственностью "Заря" - Звягинцев С.А.; от общества с ограниченной ответственностью "ВМ Капитал" - Капустин Д.А.; от общества с ограниченной ответственностью "ОренСтройМонтаж" - Фоняков И.С.</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Завьяловой Т.В., выслушав представителей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Первый заместитель прокурора Оренбургской области (далее - прокурор, Прокуратура Оренбургской области) обратился в арбитражный суд с настоящим иском в рамках полномочий, предоставленных положениями статей 21, 35 Федерального закона от 17 января 1992 г. № 2202-1 "О прокуратуре Российской Федерации" (далее - Закон о прокуратуре) и нормами статьи 52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Определением Арбитражного суда Оренбургской области от 27 февраля 2025 г. прокурору на основании статьи 49 АПК РФ отказано в уточнении исковых требований и признании дополнительно к оспоренной сделке недействительными электронные аукционы и муниципальные контракты, заключенные по результатам проведенных аукционов, а также о применении последствий недействительности ничтожных сделок в виде взыскания в доход Российской Федерации с общества "Заря" денежных средств в размере 259 969 762 рублей, с общества "СКС" - в размере 10 184 466, 8 рублей, с общества "ВМ Капитал" - в размере 44 568 286,5 рублей.</w:t>
      </w:r>
    </w:p>
    <w:p>
      <w:pPr>
        <w:widowControl/>
        <w:spacing w:after="280" w:line="312" w:lineRule="auto"/>
        <w:ind w:firstLine="567"/>
        <w:jc w:val="both"/>
      </w:pPr>
      <w:r>
        <w:rPr>
          <w:rFonts w:ascii="Inter" w:hAnsi="Inter"/>
          <w:color w:val="655D50"/>
          <w:sz w:val="24"/>
        </w:rPr>
        <w:t>Решением Арбитражного суда Оренбургской области от 28 марта 2025 г. в удовлетворении первоначально заявленных исковых требований Прокуратуре Оренбургской области отказано.</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30 июля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Уральского округа постановлением от 27 октября 2025 г. принятые по делу судебные акты оставил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действуя в интересах Российской Федерации, обратился в Судебную коллегию по экономическим спорам Верховного Суда Российской Федерации с кассационным представлением, в котором просит отменить принятые по делу судебные акты в связи с существенными нарушениями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Завьяловой Т.В. от 15 апреля 2026 г. кассационное представление вместе с делом передано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кассационное представление Заместителя Генерального прокурора Российской Федерации администрация муниципального образования Оренбургского района Оренбургской области поддерживает позицию прокуратуры, а общества "ОренСтройМонтаж", "Стройгрупп", "Заря", "СКС", "ВМ Капитал" возражают против кассационного представления и просят Судебную коллегию Верховного Суда Российской Федерации оставить принятые по делу судебные акты без изменения.</w:t>
      </w:r>
    </w:p>
    <w:p>
      <w:pPr>
        <w:widowControl/>
        <w:spacing w:after="280" w:line="312" w:lineRule="auto"/>
        <w:ind w:firstLine="567"/>
        <w:jc w:val="both"/>
      </w:pPr>
      <w:r>
        <w:rPr>
          <w:rFonts w:ascii="Inter" w:hAnsi="Inter"/>
          <w:color w:val="655D50"/>
          <w:sz w:val="24"/>
        </w:rPr>
        <w:t>Основаниями для отмены или изменения Судебной коллегией Верховного Суда Российской Федерации судебных актов в порядке кассационного производства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АПК РФ законность обжалуемых судебных актов, Судебная коллегия полагает, что кассационное представление Заместителя Генерального прокурора Российской Федерации подлежит удовлетворению, а принятые по делу судебные акты - отмене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Управлением Федеральной антимонопольной службы по Оренбургской области (далее - управление, антимонопольный орган) в рамках рассмотрения антимонопольного дела, возбужденного на основании приказа от 24 февраля 2022 г. № 13, установлено, что в период с 15 апреля 2020 г. по 10 ноября 2021 г. общества "Заря" "СКС", "ВМ Капитал", "СтройГрупп", "ОренСтройМонтаж" приняли участие в 9 (девяти) торгах, предметом которых являлись контракты на выполнение работ по ремонту дорожного покрытия (автомобильных дорог), благоустройства парков, территорий, мест накопления ТКО, приобретение жилых помещений в муниципальную собственность для переселения граждан из аварийного жилого фонда. Заказчиками выступали администрации муниципальных округов города Оренбурга.</w:t>
      </w:r>
    </w:p>
    <w:p>
      <w:pPr>
        <w:widowControl/>
        <w:spacing w:after="280" w:line="312" w:lineRule="auto"/>
        <w:ind w:firstLine="567"/>
        <w:jc w:val="both"/>
      </w:pPr>
      <w:r>
        <w:rPr>
          <w:rFonts w:ascii="Inter" w:hAnsi="Inter"/>
          <w:color w:val="655D50"/>
          <w:sz w:val="24"/>
        </w:rPr>
        <w:t>Решением антимонопольного органа от 1 декабря 2022 г. по делу № 056/01/11-152/2022 указанные общества признаны нарушившими положения пункта 2 части 1 статьи 11 Федерального закона от 26 июля 2006 г. № 135-ФЗ "О защите конкуренции" (далее - Закон о защите конкуренции) в результате заключения и реализации антиконкурентного соглашения при участии в закупках, организованных и проведенных муниципальными образованиями Оренбургской области.</w:t>
      </w:r>
    </w:p>
    <w:p>
      <w:pPr>
        <w:widowControl/>
        <w:spacing w:after="280" w:line="312" w:lineRule="auto"/>
        <w:ind w:firstLine="567"/>
        <w:jc w:val="both"/>
      </w:pPr>
      <w:r>
        <w:rPr>
          <w:rFonts w:ascii="Inter" w:hAnsi="Inter"/>
          <w:color w:val="655D50"/>
          <w:sz w:val="24"/>
        </w:rPr>
        <w:t>В частности, управлением установлена модель поведения каждого участника в ходе торгов, свидетельствующая о скоординированных действиях названных лиц, направленных на победу заранее определенного участника с наименьшим снижением цены, максимально приближенной к начальной (максимальной).</w:t>
      </w:r>
    </w:p>
    <w:p>
      <w:pPr>
        <w:widowControl/>
        <w:spacing w:after="280" w:line="312" w:lineRule="auto"/>
        <w:ind w:firstLine="567"/>
        <w:jc w:val="both"/>
      </w:pPr>
      <w:r>
        <w:rPr>
          <w:rFonts w:ascii="Inter" w:hAnsi="Inter"/>
          <w:color w:val="655D50"/>
          <w:sz w:val="24"/>
        </w:rPr>
        <w:t>Таким образом, заключение картельного соглашения между обществами повлекло их отказ от конкурентной борьбы (минимальное снижение НМЦК либо отсутствие снижения) и поддержание цен на торгах. В результате обществами были заключены муниципальные контракты, при исполнении которых получен доход на общую сумму 314 722 515 рублей.</w:t>
      </w:r>
    </w:p>
    <w:p>
      <w:pPr>
        <w:widowControl/>
        <w:spacing w:after="280" w:line="312" w:lineRule="auto"/>
        <w:ind w:firstLine="567"/>
        <w:jc w:val="both"/>
      </w:pPr>
      <w:r>
        <w:rPr>
          <w:rFonts w:ascii="Inter" w:hAnsi="Inter"/>
          <w:color w:val="655D50"/>
          <w:sz w:val="24"/>
        </w:rPr>
        <w:t>Предписание по итогам проверки антимонопольным органом не выдавалось.</w:t>
      </w:r>
    </w:p>
    <w:p>
      <w:pPr>
        <w:widowControl/>
        <w:spacing w:after="280" w:line="312" w:lineRule="auto"/>
        <w:ind w:firstLine="567"/>
        <w:jc w:val="both"/>
      </w:pPr>
      <w:r>
        <w:rPr>
          <w:rFonts w:ascii="Inter" w:hAnsi="Inter"/>
          <w:color w:val="655D50"/>
          <w:sz w:val="24"/>
        </w:rPr>
        <w:t>Решением Арбитражного суда Оренбургской области от 2 февраля 2024 г. по делу № А47-20816/2022, оставленным без изменения постановлением Восемнадцатого арбитражного апелляционного суда от 11 июня 2024 г. и постановлением Арбитражного суда Уральского округа от 26 сентября 2024 г., названное решение антимонопольного органа признано законным и обоснованным.</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16 января 2025 г. в передаче кассационных жалоб обществ "Заря" и "ОренСтройМонтаж" по делу № А47-20816/2022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Постановлениями антимонопольного органа по административным делам также была установлена вина обществ в совершении административного правонарушения, ответственность за которое предусмотрена частью 2 статьи 14.32 Кодекса об административных правонарушениях (далее - КоАП РФ); производства по указанным делам прекращены в связи с истечением срока давности привлечения к административной ответственности на основании пункта 6 части 1 статьи 24.5 КоАП РФ.</w:t>
      </w:r>
    </w:p>
    <w:p>
      <w:pPr>
        <w:widowControl/>
        <w:spacing w:after="280" w:line="312" w:lineRule="auto"/>
        <w:ind w:firstLine="567"/>
        <w:jc w:val="both"/>
      </w:pPr>
      <w:r>
        <w:rPr>
          <w:rFonts w:ascii="Inter" w:hAnsi="Inter"/>
          <w:color w:val="655D50"/>
          <w:sz w:val="24"/>
        </w:rPr>
        <w:t>Обращаясь в арбитражный суд с соответствующими требованиями, Прокуратура Оренбургской области на основании статьи 169 Гражданского кодекса Российской Федерации (далее - Гражданский кодекс, ГК РФ) квалифицировала заключенное обществами "Заря" "СКС", "ВМ Капитал", "СтройГрупп", "ОренСтройМонтаж" картельное соглашение в качестве сделки, совершенной с целью, заведомо противной основам правопорядка и нравственности, полагая, что действия хозяйствующих субъектов, нацеленные на незаконное извлечение дохода за счет бюджетных средств, создали угрозу экономической безопасности государства. В этой связи полученный названными обществами доход в результате исполнения контрактов, заключенных по итогам торгов, подлежит признанию незаконным, поскольку возможность осуществления предпринимательской деятельности и признания субъектов победителями торгов обусловлена исключительно нарушением всеми участниками картельного соглашения требований антимонопольного законодательства.</w:t>
      </w:r>
    </w:p>
    <w:p>
      <w:pPr>
        <w:widowControl/>
        <w:spacing w:after="280" w:line="312" w:lineRule="auto"/>
        <w:ind w:firstLine="567"/>
        <w:jc w:val="both"/>
      </w:pPr>
      <w:r>
        <w:rPr>
          <w:rFonts w:ascii="Inter" w:hAnsi="Inter"/>
          <w:color w:val="655D50"/>
          <w:sz w:val="24"/>
        </w:rPr>
        <w:t>Отказывая в удовлетворении заявленных прокуратурой требований, суды трех инстанций исходили из того, что заключенное между ответчиками устное антиконкурентное соглашение (картель) не является сделкой, а обращение прокурора в суд с названным иском в порядке статьи 169 Гражданского кодекса является ненадлежащим способом защиты нарушенного права.</w:t>
      </w:r>
    </w:p>
    <w:p>
      <w:pPr>
        <w:widowControl/>
        <w:spacing w:after="280" w:line="312" w:lineRule="auto"/>
        <w:ind w:firstLine="567"/>
        <w:jc w:val="both"/>
      </w:pPr>
      <w:r>
        <w:rPr>
          <w:rFonts w:ascii="Inter" w:hAnsi="Inter"/>
          <w:color w:val="655D50"/>
          <w:sz w:val="24"/>
        </w:rPr>
        <w:t>Кроме того, суды указали на недоказанность незаконного получения обществами заявленных к взысканию в доход Российской Федерации средств и отсутствие сведений о причинении каких-либо убытков от реализации картельного соглашения, а также оснований для применения положений о солидарной ответственности ответчиков по рассматриваемому иску.</w:t>
      </w:r>
    </w:p>
    <w:p>
      <w:pPr>
        <w:widowControl/>
        <w:spacing w:after="280" w:line="312" w:lineRule="auto"/>
        <w:ind w:firstLine="567"/>
        <w:jc w:val="both"/>
      </w:pPr>
      <w:r>
        <w:rPr>
          <w:rFonts w:ascii="Inter" w:hAnsi="Inter"/>
          <w:color w:val="655D50"/>
          <w:sz w:val="24"/>
        </w:rPr>
        <w:t>Обосновывая такие выводы, суды, в том числе приняли во внимание выводы, содержащиеся в определении Судебной коллегии по гражданским делам Верховного Суда Российской Федерации от 30 июля 2024 г. № 9-КГ24-7-К1 по иному делу.</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считает, что судами при рассмотрении дела не учтено следующее.</w:t>
      </w:r>
    </w:p>
    <w:p>
      <w:pPr>
        <w:widowControl/>
        <w:spacing w:after="280" w:line="312" w:lineRule="auto"/>
        <w:ind w:firstLine="567"/>
        <w:jc w:val="both"/>
      </w:pPr>
      <w:r>
        <w:rPr>
          <w:rFonts w:ascii="Inter" w:hAnsi="Inter"/>
          <w:color w:val="655D50"/>
          <w:sz w:val="24"/>
        </w:rPr>
        <w:t>Конституция Российской Федерации гарантирует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(часть 1 статьи 8), не допускает экономическую деятельность, направленную на монополизацию и недобросовестную конкуренцию (часть 2 статьи 34) и определяет необходимость создания условий для устойчивого экономического роста страны и повышения благосостояния граждан (статья 75.1).</w:t>
      </w:r>
    </w:p>
    <w:p>
      <w:pPr>
        <w:widowControl/>
        <w:spacing w:after="280" w:line="312" w:lineRule="auto"/>
        <w:ind w:firstLine="567"/>
        <w:jc w:val="both"/>
      </w:pPr>
      <w:r>
        <w:rPr>
          <w:rFonts w:ascii="Inter" w:hAnsi="Inter"/>
          <w:color w:val="655D50"/>
          <w:sz w:val="24"/>
        </w:rPr>
        <w:t>Указанные конституционные нормы наряду с положениями Гражданского кодекса о добросовестности действий участников гражданских правоотношений при установлении, осуществлении и защите гражданских прав и недопустимости извлечения преимущества из своего незаконного или недобросовестного поведения, в том числе использования гражданских прав в целях ограничения конкуренции, а также злоупотребления доминирующим положением на рынке (пункты 3 и 4 статьи 1, пункт 1 статьи 10) образуют основу антимонопольного законодательства, на что обращено внимание в пункте 1 постановления Пленума Верховного Суда Российской Федерации от 4 марта 2021 г. № 2 "О некоторых вопросах, возникающих в связи с применением антимонопольного законодательства" (далее - постановление Пленума № 2).</w:t>
      </w:r>
    </w:p>
    <w:p>
      <w:pPr>
        <w:widowControl/>
        <w:spacing w:after="280" w:line="312" w:lineRule="auto"/>
        <w:ind w:firstLine="567"/>
        <w:jc w:val="both"/>
      </w:pPr>
      <w:r>
        <w:rPr>
          <w:rFonts w:ascii="Inter" w:hAnsi="Inter"/>
          <w:color w:val="655D50"/>
          <w:sz w:val="24"/>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в числе основных начал контрактной системы в сфере закупок устанавливает создание равных условий для обеспечения конкуренции между участниками закупок (часть 1 статьи 8).</w:t>
      </w:r>
    </w:p>
    <w:p>
      <w:pPr>
        <w:widowControl/>
        <w:spacing w:after="280" w:line="312" w:lineRule="auto"/>
        <w:ind w:firstLine="567"/>
        <w:jc w:val="both"/>
      </w:pPr>
      <w:r>
        <w:rPr>
          <w:rFonts w:ascii="Inter" w:hAnsi="Inter"/>
          <w:color w:val="655D50"/>
          <w:sz w:val="24"/>
        </w:rPr>
        <w:t>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приводят к ограничению конкуренции, в частности к необоснованному ограничению числа участников закупок (часть 2 статьи 8 данного Федерального закона).</w:t>
      </w:r>
    </w:p>
    <w:p>
      <w:pPr>
        <w:widowControl/>
        <w:spacing w:after="280" w:line="312" w:lineRule="auto"/>
        <w:ind w:firstLine="567"/>
        <w:jc w:val="both"/>
      </w:pPr>
      <w:r>
        <w:rPr>
          <w:rFonts w:ascii="Inter" w:hAnsi="Inter"/>
          <w:color w:val="655D50"/>
          <w:sz w:val="24"/>
        </w:rPr>
        <w:t>Реализация названного принципа не только имеет самостоятельное значение в контексте требований защиты и поощрения конкуренции, но и направлена на повышение эффективности закупок, в том числе на этапе определения поставщиков (подрядчиков, исполнителей) (пункт 2 части 1 статьи 1 Федерального закона № 44-ФЗ), а значит, на достижение экономности и результативности использования бюджетных средств (постановление Конституционного Суда Российской Федерации от 17 февраля 2022 г. № 7-П).</w:t>
      </w:r>
    </w:p>
    <w:p>
      <w:pPr>
        <w:widowControl/>
        <w:spacing w:after="280" w:line="312" w:lineRule="auto"/>
        <w:ind w:firstLine="567"/>
        <w:jc w:val="both"/>
      </w:pPr>
      <w:r>
        <w:rPr>
          <w:rFonts w:ascii="Inter" w:hAnsi="Inter"/>
          <w:color w:val="655D50"/>
          <w:sz w:val="24"/>
        </w:rPr>
        <w:t>Статьей 11 Закона о защите конкуренции запрещается монополистическая деятельность хозяйствующих субъектов в форме ограничивающих конкуренцию соглашений.</w:t>
      </w:r>
    </w:p>
    <w:p>
      <w:pPr>
        <w:widowControl/>
        <w:spacing w:after="280" w:line="312" w:lineRule="auto"/>
        <w:ind w:firstLine="567"/>
        <w:jc w:val="both"/>
      </w:pPr>
      <w:r>
        <w:rPr>
          <w:rFonts w:ascii="Inter" w:hAnsi="Inter"/>
          <w:color w:val="655D50"/>
          <w:sz w:val="24"/>
        </w:rPr>
        <w:t>На основании части 1 статьи 11 Закона о защите конкуренции запрещаются картели - ограничивающие конкуренцию соглашения между хозяйствующими субъектами - конкурентами, осуществляющими продажу товаров на одном товарном рынке или приобретение товаров на одном товарном рынке.</w:t>
      </w:r>
    </w:p>
    <w:p>
      <w:pPr>
        <w:widowControl/>
        <w:spacing w:after="280" w:line="312" w:lineRule="auto"/>
        <w:ind w:firstLine="567"/>
        <w:jc w:val="both"/>
      </w:pPr>
      <w:r>
        <w:rPr>
          <w:rFonts w:ascii="Inter" w:hAnsi="Inter"/>
          <w:color w:val="655D50"/>
          <w:sz w:val="24"/>
        </w:rPr>
        <w:t>В частности, запрещаются картели - соглашения хозяйствующих субъектов, которые приводят или могут привести к повышению, снижению или поддержанию цен на торгах (пункт 2 части 1 статьи 11 Закона о защите конкуренции).</w:t>
      </w:r>
    </w:p>
    <w:p>
      <w:pPr>
        <w:widowControl/>
        <w:spacing w:after="280" w:line="312" w:lineRule="auto"/>
        <w:ind w:firstLine="567"/>
        <w:jc w:val="both"/>
      </w:pPr>
      <w:r>
        <w:rPr>
          <w:rFonts w:ascii="Inter" w:hAnsi="Inter"/>
          <w:color w:val="655D50"/>
          <w:sz w:val="24"/>
        </w:rPr>
        <w:t>Разъясняя содержание указанного антимонопольного запрета, Пленум Верховного Суда Российской Федерации указал, что соглашением хозяйствующих субъектов могут быть признаны любые договоренности между ними в отношении поведения на рынке, в том числе как оформленные письменно (например, договоры, решения объединений хозяйствующих субъектов, протоколы), так и не получившие письменного оформления, но нашедшие отражение в определенном поведении. Факт наличия соглашения не ставится в зависимость от его заключения в виде договора по правилам, установленным гражданским законодательством, включая требования к форме и содержанию сделок. Ограничение конкуренции картелем в случаях, упомянутых в пунктах 1 - 5 части 1 статьи 11 Закона, в силу закона предполагается (пункты 21 и 22 постановления Пленума № 2).</w:t>
      </w:r>
    </w:p>
    <w:p>
      <w:pPr>
        <w:widowControl/>
        <w:spacing w:after="280" w:line="312" w:lineRule="auto"/>
        <w:ind w:firstLine="567"/>
        <w:jc w:val="both"/>
      </w:pPr>
      <w:r>
        <w:rPr>
          <w:rFonts w:ascii="Inter" w:hAnsi="Inter"/>
          <w:color w:val="655D50"/>
          <w:sz w:val="24"/>
        </w:rPr>
        <w:t>По смыслу закона картельные соглашения являются одной из наиболее опасных форм антиконкурентного поведения, поскольку значительный характер ущерба от такой деятельности обусловливаются подавлением здоровой рыночной конкуренции, искусственным ростом цен, вытеснением с рынка лиц, добросовестно ведущих свою деятельность на конкурентных началах.</w:t>
      </w:r>
    </w:p>
    <w:p>
      <w:pPr>
        <w:widowControl/>
        <w:spacing w:after="280" w:line="312" w:lineRule="auto"/>
        <w:ind w:firstLine="567"/>
        <w:jc w:val="both"/>
      </w:pPr>
      <w:r>
        <w:rPr>
          <w:rFonts w:ascii="Inter" w:hAnsi="Inter"/>
          <w:color w:val="655D50"/>
          <w:sz w:val="24"/>
        </w:rPr>
        <w:t>Антиконкурентные соглашения, реализуемые при участии хозяйствующих субъектов в контрактной системе в сфере закупок, помимо вышеуказанных последствий, также влекут за собой причинение непосредственного ущерба государству, поскольку исполнение государственных контрактов производится за счет бюджетных средств.</w:t>
      </w:r>
    </w:p>
    <w:p>
      <w:pPr>
        <w:widowControl/>
        <w:spacing w:after="280" w:line="312" w:lineRule="auto"/>
        <w:ind w:firstLine="567"/>
        <w:jc w:val="both"/>
      </w:pPr>
      <w:r>
        <w:rPr>
          <w:rFonts w:ascii="Inter" w:hAnsi="Inter"/>
          <w:color w:val="655D50"/>
          <w:sz w:val="24"/>
        </w:rPr>
        <w:t>В связи с этим законодатель не ограничил круг лиц, а также требования, с которыми истец может обратиться за судебной защитой в случае установления того факта, что ряд хозяйствующих субъектов действовали с нарушением установленных пределов осуществления гражданских прав, а именно, являлись участниками антиконкурентного соглашения - картеля, организованного в контрактной системе в сфере закупок.</w:t>
      </w:r>
    </w:p>
    <w:p>
      <w:pPr>
        <w:widowControl/>
        <w:spacing w:after="280" w:line="312" w:lineRule="auto"/>
        <w:ind w:firstLine="567"/>
        <w:jc w:val="both"/>
      </w:pPr>
      <w:r>
        <w:rPr>
          <w:rFonts w:ascii="Inter" w:hAnsi="Inter"/>
          <w:color w:val="655D50"/>
          <w:sz w:val="24"/>
        </w:rPr>
        <w:t>В соответствии с частью 3 статьи 37 Закона о защите конкуренции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в том числе с исками о восстановлении нарушенных прав, возмещении убытков, включая упущенную выгоду, возмещении вреда, причиненного имуществу.</w:t>
      </w:r>
    </w:p>
    <w:p>
      <w:pPr>
        <w:widowControl/>
        <w:spacing w:after="280" w:line="312" w:lineRule="auto"/>
        <w:ind w:firstLine="567"/>
        <w:jc w:val="both"/>
      </w:pPr>
      <w:r>
        <w:rPr>
          <w:rFonts w:ascii="Inter" w:hAnsi="Inter"/>
          <w:color w:val="655D50"/>
          <w:sz w:val="24"/>
        </w:rPr>
        <w:t>Частью 3 статьи 51 Закона о защите конкуренции предусмотрено, что лицо, чьи действия (бездействие) в установленном этим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выраженной в постановлениях от 24 июня 2009 г. № 11-П и от 17 февраля 2022 года № 7-П, данная мера (взыскание в федеральный бюджет дохода, полученного вследствие нарушения)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охраняемых антимонопольным законодательством общественных отношений. Она призвана обеспечить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w:t>
      </w:r>
    </w:p>
    <w:p>
      <w:pPr>
        <w:widowControl/>
        <w:spacing w:after="280" w:line="312" w:lineRule="auto"/>
        <w:ind w:firstLine="567"/>
        <w:jc w:val="both"/>
      </w:pPr>
      <w:r>
        <w:rPr>
          <w:rFonts w:ascii="Inter" w:hAnsi="Inter"/>
          <w:color w:val="655D50"/>
          <w:sz w:val="24"/>
        </w:rPr>
        <w:t>Таким образом, такая мера государственного воздействия на лиц, допустивших нарушение антимонопольного законодательства, как взыскание в доход федерального бюджета тех доходов, которые были получены ими вследствие указанных действий (бездействия), предусмотрена законодательством и обусловлена существом антимонопольных нарушений, как затрагивающих интересы государства, широкого круга субъектов экономической деятельности и потребителей.</w:t>
      </w:r>
    </w:p>
    <w:p>
      <w:pPr>
        <w:widowControl/>
        <w:spacing w:after="280" w:line="312" w:lineRule="auto"/>
        <w:ind w:firstLine="567"/>
        <w:jc w:val="both"/>
      </w:pPr>
      <w:r>
        <w:rPr>
          <w:rFonts w:ascii="Inter" w:hAnsi="Inter"/>
          <w:color w:val="655D50"/>
          <w:sz w:val="24"/>
        </w:rPr>
        <w:t>Государственный контроль в сфере защиты конкуренции в Российской Федерации осуществляет Федеральная антимонопольная служба, главной целью деятельности которой является обеспечение свободы конкуренции, предотвращение монополистической деятельности и недобросовестной конкуренции.</w:t>
      </w:r>
    </w:p>
    <w:p>
      <w:pPr>
        <w:widowControl/>
        <w:spacing w:after="280" w:line="312" w:lineRule="auto"/>
        <w:ind w:firstLine="567"/>
        <w:jc w:val="both"/>
      </w:pPr>
      <w:r>
        <w:rPr>
          <w:rFonts w:ascii="Inter" w:hAnsi="Inter"/>
          <w:color w:val="655D50"/>
          <w:sz w:val="24"/>
        </w:rPr>
        <w:t>Наряду с этим осуществляемая прокуратурой Российской Федерации функция надзора за исполнением законов является самостоятельной (обособленной) формой реализации контрольной функции государства, в рамках которой обеспечивается - путем своевременного и оперативного реагирования органов прокуратуры на ставшие известными факты нарушения субъектами права законов различной отраслевой принадлежности - неукоснительное соблюдение Конституции Российской Федерации и законов, действующих на территории Российской Федерации, в том числе теми государственными органами, на которые возложены функции специального (ведомственного) государственного контроля (надзора). Это обусловлено целями обеспечения верховенства права, единства правового пространства, укрепления законности, защиты прав и свобод человека и гражданина, а также охраняемых законом интересов общества и государства (постановления Конституционного Суда Российской Федерации от 18 февраля 2000 г. № 3-П, от 11 апреля 2000 г. № 6-П, от 17 февраля 2015 г. № 2-П).</w:t>
      </w:r>
    </w:p>
    <w:p>
      <w:pPr>
        <w:widowControl/>
        <w:spacing w:after="280" w:line="312" w:lineRule="auto"/>
        <w:ind w:firstLine="567"/>
        <w:jc w:val="both"/>
      </w:pPr>
      <w:r>
        <w:rPr>
          <w:rFonts w:ascii="Inter" w:hAnsi="Inter"/>
          <w:color w:val="655D50"/>
          <w:sz w:val="24"/>
        </w:rPr>
        <w:t>Следовательно, действующее законодательство закрепляет самостоятельную роль надзорного органа в обеспечении законности и правопорядка.</w:t>
      </w:r>
    </w:p>
    <w:p>
      <w:pPr>
        <w:widowControl/>
        <w:spacing w:after="280" w:line="312" w:lineRule="auto"/>
        <w:ind w:firstLine="567"/>
        <w:jc w:val="both"/>
      </w:pPr>
      <w:r>
        <w:rPr>
          <w:rFonts w:ascii="Inter" w:hAnsi="Inter"/>
          <w:color w:val="655D50"/>
          <w:sz w:val="24"/>
        </w:rPr>
        <w:t>Так, на основании части 1 статьи 52 АПК РФ прокурор вправе обратиться в арбитражный суд с исками о признании недействительными сделок, совершенных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 признании недействительными сделок, заключенных с нарушением требований законодательства о контрактной системе в сфере закупок товаров, работ, услуг для обеспечения государственных и муниципальных нужд и о применении последствий недействительности таких сделок.</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ничтожна и влечет последствия, установленные статьей 167 Гражданского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(статья 169 Гражданского кодекса).</w:t>
      </w:r>
    </w:p>
    <w:p>
      <w:pPr>
        <w:widowControl/>
        <w:spacing w:after="280" w:line="312" w:lineRule="auto"/>
        <w:ind w:firstLine="567"/>
        <w:jc w:val="both"/>
      </w:pPr>
      <w:r>
        <w:rPr>
          <w:rFonts w:ascii="Inter" w:hAnsi="Inter"/>
          <w:color w:val="655D50"/>
          <w:sz w:val="24"/>
        </w:rPr>
        <w:t>Прибегая к понятию сделки при правовой квалификации картельного соглашения, надзорный орган при заявлении настоящего иска правомерно исходил из того, что реализация антиконкурентного соглашения, достигнутого между участниками рынка, фактически состояла в заключении контрактов, исполнение которых производится за счет бюджетных средств.</w:t>
      </w:r>
    </w:p>
    <w:p>
      <w:pPr>
        <w:widowControl/>
        <w:spacing w:after="280" w:line="312" w:lineRule="auto"/>
        <w:ind w:firstLine="567"/>
        <w:jc w:val="both"/>
      </w:pPr>
      <w:r>
        <w:rPr>
          <w:rFonts w:ascii="Inter" w:hAnsi="Inter"/>
          <w:color w:val="655D50"/>
          <w:sz w:val="24"/>
        </w:rPr>
        <w:t>Это искажает условия конкуренции и наносит прямой ущерб публичным интересам, поскольку приводит к неэффективному расходованию бюджетных ресурсов.</w:t>
      </w:r>
    </w:p>
    <w:p>
      <w:pPr>
        <w:widowControl/>
        <w:spacing w:after="280" w:line="312" w:lineRule="auto"/>
        <w:ind w:firstLine="567"/>
        <w:jc w:val="both"/>
      </w:pPr>
      <w:r>
        <w:rPr>
          <w:rFonts w:ascii="Inter" w:hAnsi="Inter"/>
          <w:color w:val="655D50"/>
          <w:sz w:val="24"/>
        </w:rPr>
        <w:t>Доход от таких сделок имеет противоправную природу, его получение не может быть признано законным (правомерным) применительно к пункту 2 части 1 статьи 11 и части 3 статьи 51 Закона о защите конкуренции, в связи с чем прокурор полномочен принимать меры по взысканию этого дохода в судебном порядке по правилам части 1 статьи 52 АПК РФ, пункта 4 статьи 1 и статьи 169 Гражданского кодекса в целях полного восстановления публичных интересов, связанных, в том числе с устранением негативных последствий нарушения субъектами предпринимательской деятельности положений антимонопольного законодательства и законодательства в сфере закупок для государственных нужд.</w:t>
      </w:r>
    </w:p>
    <w:p>
      <w:pPr>
        <w:widowControl/>
        <w:spacing w:after="280" w:line="312" w:lineRule="auto"/>
        <w:ind w:firstLine="567"/>
        <w:jc w:val="both"/>
      </w:pPr>
      <w:r>
        <w:rPr>
          <w:rFonts w:ascii="Inter" w:hAnsi="Inter"/>
          <w:color w:val="655D50"/>
          <w:sz w:val="24"/>
        </w:rPr>
        <w:t>В рассматриваемой ситуации прокуратура в установленном законом порядке реализовала механизм привлечения обществ к ответственности за выявленное и документально подтвержденное нарушение. При этом полностью исключены какие-либо признаки чрезмерности, избыточности применяемых мер либо факт повторного взыскания, поскольку антимонопольный орган не привлекал общества к административной ответственности и не выдавал соответствующих предписаний.</w:t>
      </w:r>
    </w:p>
    <w:p>
      <w:pPr>
        <w:widowControl/>
        <w:spacing w:after="280" w:line="312" w:lineRule="auto"/>
        <w:ind w:firstLine="567"/>
        <w:jc w:val="both"/>
      </w:pPr>
      <w:r>
        <w:rPr>
          <w:rFonts w:ascii="Inter" w:hAnsi="Inter"/>
          <w:color w:val="655D50"/>
          <w:sz w:val="24"/>
        </w:rPr>
        <w:t>Учитывая установленный вступившим в законную силу решением Арбитражного суда Оренбургской области по делу № А47-20816/2022 факт заключения картельного соглашения, взыскание всего полученного по нему дохода солидарно со всех участников такого соглашения отвечает принципам гражданско-правовой ответственности и целям восстановления нарушенных публичных интересов. Это обусловлено тем, что участники картельного сговора действовали согласованно, в едином умысле, и преследовали общую противоправную цель.</w:t>
      </w:r>
    </w:p>
    <w:p>
      <w:pPr>
        <w:widowControl/>
        <w:spacing w:after="280" w:line="312" w:lineRule="auto"/>
        <w:ind w:firstLine="567"/>
        <w:jc w:val="both"/>
      </w:pPr>
      <w:r>
        <w:rPr>
          <w:rFonts w:ascii="Inter" w:hAnsi="Inter"/>
          <w:color w:val="655D50"/>
          <w:sz w:val="24"/>
        </w:rPr>
        <w:t>На основании вышеизложенного требование прокуратуры о взыскании с названных обществ солидарно в федеральный бюджет дохода, полученного вследствие заключения ими антисоциальной сделки (картеля), соответствует положениям пункта 4 статьи 1, статьи 169 Гражданского кодекса и части 3 статьи 51 Закона о защите конкуренции.</w:t>
      </w:r>
    </w:p>
    <w:p>
      <w:pPr>
        <w:widowControl/>
        <w:spacing w:after="280" w:line="312" w:lineRule="auto"/>
        <w:ind w:firstLine="567"/>
        <w:jc w:val="both"/>
      </w:pPr>
      <w:r>
        <w:rPr>
          <w:rFonts w:ascii="Inter" w:hAnsi="Inter"/>
          <w:color w:val="655D50"/>
          <w:sz w:val="24"/>
        </w:rPr>
        <w:t>При таких обстоятельствах Судебная коллегия Верховного Суда Российской Федерации полагает, что принятые по делу судебные акты подлежат отмене на основании части 1 статьи 291.11 Арбитражного процессуального кодекса Российской Федерации в связи с существенными нарушениями норм материального права.</w:t>
      </w:r>
    </w:p>
    <w:p>
      <w:pPr>
        <w:widowControl/>
        <w:spacing w:after="280" w:line="312" w:lineRule="auto"/>
        <w:ind w:firstLine="567"/>
        <w:jc w:val="both"/>
      </w:pPr>
      <w:r>
        <w:rPr>
          <w:rFonts w:ascii="Inter" w:hAnsi="Inter"/>
          <w:color w:val="655D50"/>
          <w:sz w:val="24"/>
        </w:rPr>
        <w:t>Требования прокуратуры подлежат удовлетворению в полном объеме.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установлен вступившим в законную силу решением суда факт заключения картельного соглашения, взыскание всего полученного по нему дохода солидарно со всех участников такого соглашения отвечает принципам гражданско-правовой ответственности и целям восстановления нарушенных публичных интересов.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22.05.2026 № 309-ЭС25-15678 по делу № А47-10662/2024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22.05.2026 № 309-ЭС25-15678 по делу № А47-10662/2024</dc:title>
  <dc:subject/>
  <dc:creator>CasusLegal</dc:creator>
  <cp:keywords/>
  <dc:description/>
  <cp:lastModifiedBy>CasusLegal</cp:lastModifiedBy>
  <cp:revision>1</cp:revision>
  <dcterms:created xsi:type="dcterms:W3CDTF">2026-08-16T11:28:30Z</dcterms:created>
  <dcterms:modified xsi:type="dcterms:W3CDTF">2026-08-16T11:28:30Z</dcterms:modified>
  <cp:category/>
</cp:coreProperties>
</file>