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27.01.2026 № 78-КГ25-38-К3 (УИД 77RS0009-02-2023-00284976)</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27.01.2026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27.01.2026 № 78-КГ25-38-К3 (УИД 77RS0009-02-2023-00284976)</w:t>
      </w:r>
    </w:p>
    <w:p>
      <w:pPr>
        <w:spacing w:after="40"/>
      </w:pPr>
      <w:r>
        <w:rPr>
          <w:rFonts w:ascii="Inter" w:hAnsi="Inter"/>
          <w:b/>
          <w:color w:val="8B8171"/>
          <w:sz w:val="18"/>
        </w:rPr>
        <w:t xml:space="preserve">Применённые нормы: </w:t>
      </w:r>
      <w:r>
        <w:rPr>
          <w:rFonts w:ascii="Inter" w:hAnsi="Inter"/>
          <w:color w:val="655D50"/>
          <w:sz w:val="18"/>
        </w:rPr>
        <w:t>ст. 153 ГК РФ, ст. 159 УК РФ, ст. 168 ГК РФ, ст. 179 ГК РФ, ст. 432 ГК РФ, ст. 5 ФЗ, ст. 67 ГПК РФ, ст. 7 ФЗ</w:t>
      </w:r>
    </w:p>
    <w:p>
      <w:pPr>
        <w:spacing w:after="40"/>
      </w:pPr>
      <w:r>
        <w:rPr>
          <w:rFonts w:ascii="Inter" w:hAnsi="Inter"/>
          <w:b/>
          <w:color w:val="8B8171"/>
          <w:sz w:val="18"/>
        </w:rPr>
        <w:t xml:space="preserve">Теги: </w:t>
      </w:r>
      <w:r>
        <w:rPr>
          <w:rFonts w:ascii="Inter" w:hAnsi="Inter"/>
          <w:color w:val="655D50"/>
          <w:sz w:val="18"/>
        </w:rPr>
        <w:t>Кредитный договор, Простая электронная подпись, Дистанционное банковское обслуживание, Недействительность сделок, Защита прав потребителей финансовых услуг, Добросовестность, Статья 160 ГК РФ, Статья 820 ГК РФ, Мошенничество в сфере кредитования</w:t>
      </w:r>
    </w:p>
    <w:p>
      <w:pPr>
        <w:widowControl/>
        <w:spacing w:after="280" w:line="312" w:lineRule="auto"/>
        <w:ind w:firstLine="567"/>
        <w:jc w:val="both"/>
      </w:pPr>
      <w:r>
        <w:rPr>
          <w:rFonts w:ascii="Inter" w:hAnsi="Inter"/>
          <w:color w:val="655D50"/>
          <w:sz w:val="24"/>
        </w:rPr>
        <w:t>Категория: Кредит. Требования заемщика: О признании кредитного договора недействительным.</w:t>
      </w:r>
    </w:p>
    <w:p>
      <w:pPr>
        <w:widowControl/>
        <w:spacing w:after="280" w:line="312" w:lineRule="auto"/>
        <w:ind w:firstLine="567"/>
        <w:jc w:val="both"/>
      </w:pPr>
      <w:r>
        <w:rPr>
          <w:rFonts w:ascii="Inter" w:hAnsi="Inter"/>
          <w:color w:val="655D50"/>
          <w:sz w:val="24"/>
        </w:rPr>
        <w:t>Истица полагает, что путем введения ее в заблуждение в результате мошеннических действий была списана часть денежных средств по кредиту, который она не оформляла, считает договор недействительным в связи с несоблюдением требований о письменной форме и отсутствием ее волеизъявления на заключение договора.</w:t>
      </w:r>
    </w:p>
    <w:p>
      <w:pPr>
        <w:widowControl/>
        <w:spacing w:after="280" w:line="312" w:lineRule="auto"/>
        <w:ind w:firstLine="567"/>
        <w:jc w:val="both"/>
      </w:pPr>
      <w:r>
        <w:rPr>
          <w:rFonts w:ascii="Inter" w:hAnsi="Inter"/>
          <w:color w:val="655D50"/>
          <w:sz w:val="24"/>
        </w:rPr>
        <w:t>77RS0009-02-2023-00284976 Судебная коллегия по гражданским делам Верховного Суда Российской Федерации в составе председательствующего Асташова С.В., судей Марьина А.Н. и Петрушкина В.А., рассмотрев в открытом судебном заседании гражданское дело по иску Юденковой Анны Николаевны к публичному акционерному обществу "Банк ВТБ" о признании недействительным кредитного договора по кассационной жалобе Юденковой Анны Николаевны на решение Смольнинского районного суда г. Санкт-Петербурга от 28 августа 2024 г., апелляционное определение судебной коллегии по гражданским делам Санкт-Петербургского городского суда от 4 февраля 2025 г. и определение судебной коллегии по гражданским делам Третьего кассационного суда общей юрисдикции от 18 июня 2025 г., заслушав доклад судьи Верховного Суда Российской Федерации Петрушкина В.А., выслушав Юденкову А.Н., ее представителя Мишуровского В.А., поддержавших доводы кассационной жалобы, представителей ПАО "Банк ВТБ" Фомичева А.В. и Гданского Т.Н., возражавших против удовлетворения жалобы,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Юденкова А.Н. обратилась в суд с иском к ПАО "Банк ВТБ" и просила признать кредитный договор с банком, совершенный от ее имени, недействительным, поскольку в отсутствие подписи заемщика его письменная форма не соблюдена, волеизъявление истца на его заключение отсутствовало.</w:t>
      </w:r>
    </w:p>
    <w:p>
      <w:pPr>
        <w:widowControl/>
        <w:spacing w:after="280" w:line="312" w:lineRule="auto"/>
        <w:ind w:firstLine="567"/>
        <w:jc w:val="both"/>
      </w:pPr>
      <w:r>
        <w:rPr>
          <w:rFonts w:ascii="Inter" w:hAnsi="Inter"/>
          <w:color w:val="655D50"/>
          <w:sz w:val="24"/>
        </w:rPr>
        <w:t>Решением Смольнинского районного суда г. Санкт-Петербурга от 28 августа 2024 г., оставленным без изменения апелляционным определением судебной коллегии по гражданским делам Санкт-Петербургского городского суда от 4 февраля 2025 г., в удовлетворении исковых требований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Третьего кассационного суда общей юрисдикции от 18 июня 2025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Юденкова А.Н. просит отменить названные судебные акты.</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 сентября 2025 г. Юденковой А.Н. отказано в передаче кассационной жалобы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Глазова Ю.В. от 25 декабря 2025 г. определение судьи Верховного Суда Российской Федерации от 3 сентября 2025 г. отменено, кассационная жалоба Юденковой А.Н.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21 ноября 2015 г. между Юденковой А.Н. и ПАО "Банк ВТБ" заключен договор комплексного банковского обслуживания физических лиц путем присоединения в порядке, предусмотренном статьей 428 Гражданского кодекса Российской Федерации, в действующей редакции Правил комплексного обслуживания физических лиц в ПАО "Банк ВТБ", Правил дистанционного банковского обслуживания физических лиц в ПАО "Банк ВТБ", Условий обслуживания физических лиц в системе ВТБ-Онлайн. Истцу предоставлен доступ к ВТБ-Онлайн.</w:t>
      </w:r>
    </w:p>
    <w:p>
      <w:pPr>
        <w:widowControl/>
        <w:spacing w:after="280" w:line="312" w:lineRule="auto"/>
        <w:ind w:firstLine="567"/>
        <w:jc w:val="both"/>
      </w:pPr>
      <w:r>
        <w:rPr>
          <w:rFonts w:ascii="Inter" w:hAnsi="Inter"/>
          <w:color w:val="655D50"/>
          <w:sz w:val="24"/>
        </w:rPr>
        <w:t>В соответствии с п. 6.4.1 Условий обслуживания физических лиц клиент может оформить заявление на получение кредита в ВТБ-Онлайн. Заявление на получение кредита/иные электронные документы клиент подписывает ПЭП (простая электронная подпись) способом, определенным в п. 8.3 данных правил (sms-код - в случае использования интернет-банка, sms-KOA/Passcode - в случае использования мобильного приложения).</w:t>
      </w:r>
    </w:p>
    <w:p>
      <w:pPr>
        <w:widowControl/>
        <w:spacing w:after="280" w:line="312" w:lineRule="auto"/>
        <w:ind w:firstLine="567"/>
        <w:jc w:val="both"/>
      </w:pPr>
      <w:r>
        <w:rPr>
          <w:rFonts w:ascii="Inter" w:hAnsi="Inter"/>
          <w:color w:val="655D50"/>
          <w:sz w:val="24"/>
        </w:rPr>
        <w:t>Банк информирует клиента о принятом решении посредством направления SMS/Push-сообщения. В случае принятия банком решения о предоставлении кредита клиенту предоставляются для ознакомления индивидуальные условия/иные электронные документы, которые клиент может сохранить на своем мобильном устройстве.</w:t>
      </w:r>
    </w:p>
    <w:p>
      <w:pPr>
        <w:widowControl/>
        <w:spacing w:after="280" w:line="312" w:lineRule="auto"/>
        <w:ind w:firstLine="567"/>
        <w:jc w:val="both"/>
      </w:pPr>
      <w:r>
        <w:rPr>
          <w:rFonts w:ascii="Inter" w:hAnsi="Inter"/>
          <w:color w:val="655D50"/>
          <w:sz w:val="24"/>
        </w:rPr>
        <w:t>В случае согласия с индивидуальными условиями/иными электронными документами клиент подписывает их ПЭП способом, определенным в п. 8.3 правил. До подписания электронных документов клиент должен предварительно ознакомиться с их содержанием. Для получения копии кредитного договора/иных электронных документов на бумажном носителе клиент может обратиться в офис банка.</w:t>
      </w:r>
    </w:p>
    <w:p>
      <w:pPr>
        <w:widowControl/>
        <w:spacing w:after="280" w:line="312" w:lineRule="auto"/>
        <w:ind w:firstLine="567"/>
        <w:jc w:val="both"/>
      </w:pPr>
      <w:r>
        <w:rPr>
          <w:rFonts w:ascii="Inter" w:hAnsi="Inter"/>
          <w:color w:val="655D50"/>
          <w:sz w:val="24"/>
        </w:rPr>
        <w:t>23 октября 2020 г. в 12:22 истцом с использованием ВТБ-Онлайн принято предложение банка на заключение кредитного договора и договора страхования по программе "Оптима" на условиях страхового продукта "Финансовый резерв", предоставленного АО СК "СОГАЗ".</w:t>
      </w:r>
    </w:p>
    <w:p>
      <w:pPr>
        <w:widowControl/>
        <w:spacing w:after="280" w:line="312" w:lineRule="auto"/>
        <w:ind w:firstLine="567"/>
        <w:jc w:val="both"/>
      </w:pPr>
      <w:r>
        <w:rPr>
          <w:rFonts w:ascii="Inter" w:hAnsi="Inter"/>
          <w:color w:val="655D50"/>
          <w:sz w:val="24"/>
        </w:rPr>
        <w:t>В целях подтверждения распоряжения клиента на мобильный номер Юденковой А.Н., указанный при заключении договора банковского обслуживания, было направлено SMS-сообщение, содержащее разовый код для подтверждения операции, а также существенные условия кредита. Данный код, являющийся ПЭП истца, был введен, денежные средства в размере 1 302 483 руб. зачислены на текущий счет Юденковой А.Н.</w:t>
      </w:r>
    </w:p>
    <w:p>
      <w:pPr>
        <w:widowControl/>
        <w:spacing w:after="280" w:line="312" w:lineRule="auto"/>
        <w:ind w:firstLine="567"/>
        <w:jc w:val="both"/>
      </w:pPr>
      <w:r>
        <w:rPr>
          <w:rFonts w:ascii="Inter" w:hAnsi="Inter"/>
          <w:color w:val="655D50"/>
          <w:sz w:val="24"/>
        </w:rPr>
        <w:t>Действия по заключению договора потребительского кредита и договора страхования выполнены путем набора цифрового кода-подтверждения, после чего сразу же стали списываться денежные средства со счета истца на счета неких физических лиц - 15 списаний на сумму 19 999,99 руб. каждое, пока Юденковой А.Н. не была заблокирована карта.</w:t>
      </w:r>
    </w:p>
    <w:p>
      <w:pPr>
        <w:widowControl/>
        <w:spacing w:after="280" w:line="312" w:lineRule="auto"/>
        <w:ind w:firstLine="567"/>
        <w:jc w:val="both"/>
      </w:pPr>
      <w:r>
        <w:rPr>
          <w:rFonts w:ascii="Inter" w:hAnsi="Inter"/>
          <w:color w:val="655D50"/>
          <w:sz w:val="24"/>
        </w:rPr>
        <w:t>В этот же день, 23 октября 2020 г., по заявлению Юденковой А.Н. возбуждено уголовное дело по признакам преступления, предусмотренного частью 3 статьи 159 Уголовного кодекса Российской Федерации, по которому она признана потерпевшей.</w:t>
      </w:r>
    </w:p>
    <w:p>
      <w:pPr>
        <w:widowControl/>
        <w:spacing w:after="280" w:line="312" w:lineRule="auto"/>
        <w:ind w:firstLine="567"/>
        <w:jc w:val="both"/>
      </w:pPr>
      <w:r>
        <w:rPr>
          <w:rFonts w:ascii="Inter" w:hAnsi="Inter"/>
          <w:color w:val="655D50"/>
          <w:sz w:val="24"/>
        </w:rPr>
        <w:t>23 октября 2020 г. Юденковой А.Н. также было подано заявление в АО СК "СОГАЗ" о расторжении договора страхования и возврате страховой премии.</w:t>
      </w:r>
    </w:p>
    <w:p>
      <w:pPr>
        <w:widowControl/>
        <w:spacing w:after="280" w:line="312" w:lineRule="auto"/>
        <w:ind w:firstLine="567"/>
        <w:jc w:val="both"/>
      </w:pPr>
      <w:r>
        <w:rPr>
          <w:rFonts w:ascii="Inter" w:hAnsi="Inter"/>
          <w:color w:val="655D50"/>
          <w:sz w:val="24"/>
        </w:rPr>
        <w:t>Суд первой инстанции, исследовав и оценив по правилам статьи 67 Гражданского процессуального кодекса Российской Федерации представленные доказательства, руководствуясь статьями 160, 161, 166, 168, 309, 310, 421, 432, 434, 809, 810, 819 Гражданского кодекса Российской Федерации, положениями Федерального закона от 6 апреля 2011 г. № 63-ФЗ "Об электронной подписи", Федерального закона от 21 декабря 2013 г. № 353-ФЗ "О потребительском кредите (займе)", исходил из того, что в момент заключения кредитного договора Юденкова А.Н. понимала, что заключает договор потребительского кредита, дала согласие на заключение сделки, получила сумму кредита и распорядилась указанными денежными средствами по своему усмотрению. Действуя с должной степенью осмотрительности, истец имела возможность ознакомиться с документацией для принятия взвешенного решения об оформлении кредита.</w:t>
      </w:r>
    </w:p>
    <w:p>
      <w:pPr>
        <w:widowControl/>
        <w:spacing w:after="280" w:line="312" w:lineRule="auto"/>
        <w:ind w:firstLine="567"/>
        <w:jc w:val="both"/>
      </w:pPr>
      <w:r>
        <w:rPr>
          <w:rFonts w:ascii="Inter" w:hAnsi="Inter"/>
          <w:color w:val="655D50"/>
          <w:sz w:val="24"/>
        </w:rPr>
        <w:t>С данными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с выводами судебных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Согласно статье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пункте 50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сделкой является волеизъявление, направленное на установление, изменение или прекращение гражданских прав и обязанностей (например, гражданско-правовой договор, выдача доверенности, признание долга, заявление о зачете, односторонний отказ от исполнения обязательства, согласие физического или юридического лица на совершение сделки).</w:t>
      </w:r>
    </w:p>
    <w:p>
      <w:pPr>
        <w:widowControl/>
        <w:spacing w:after="280" w:line="312" w:lineRule="auto"/>
        <w:ind w:firstLine="567"/>
        <w:jc w:val="both"/>
      </w:pPr>
      <w:r>
        <w:rPr>
          <w:rFonts w:ascii="Inter" w:hAnsi="Inter"/>
          <w:color w:val="655D50"/>
          <w:sz w:val="24"/>
        </w:rPr>
        <w:t>Сделка может быть признана недействительной как в случае нарушения требований закона (статья 168 Гражданского кодекса Российской Федерации), так и по специальным основаниям в случае порока воли при ее совершении, в частности при совершении сделки под влиянием существенного заблуждения или обмана (статья 178, пункт 2 статьи 179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 пунктом 2 статьи 7 Федерального закона от 21 декабря 2013 г. № 353-ФЗ "О потребительском кредите (займе)", заключению договора должно предшествовать обращение заемщика с заявлением о предоставлении кредита, а в соответствии с пунктом 6 этой же статьи договор потребительского кредита считается заключенным, если между сторонами договора достигнуто согласие по всем индивидуальным условиям договора, указанным в части 9 статьи 5 данного федерального закона. Договор потребительского займа считается заключенным с момента передачи заемщику денежных средств.</w:t>
      </w:r>
    </w:p>
    <w:p>
      <w:pPr>
        <w:widowControl/>
        <w:spacing w:after="280" w:line="312" w:lineRule="auto"/>
        <w:ind w:firstLine="567"/>
        <w:jc w:val="both"/>
      </w:pPr>
      <w:r>
        <w:rPr>
          <w:rFonts w:ascii="Inter" w:hAnsi="Inter"/>
          <w:color w:val="655D50"/>
          <w:sz w:val="24"/>
        </w:rPr>
        <w:t>В пункте 14 статьи 7 Закона о потребительском кредите установлено, что документы, необходимые для заключения договора потребительского кредита (займа) в соответствии с указанной статьей, включая индивидуальные условия договора потребительского кредита (займа) и заявление о предоставлении потребительского кредита (займа), могут быть подписаны сторонами с использованием аналога собственноручной подписи способом, подтверждающим ее принадлежность сторонам в соответствии с требованиями федеральных законов, и направлены с использованием информационно-телекоммуникационных сетей, в том числе сети "Интернет". При каждом ознакомлении в информационно-телекоммуникационной сети "Интернет" с индивидуальными условиями договора потребительского кредита (займа) заемщик должен получать уведомление о сроке, в течение которого на таких условиях с заемщиком может быть заключен договор потребительского кредита (займа) и который определяется в соответствии с этим федеральным законом (пункт 14 статьи 7 Закона о потребительском кредите).</w:t>
      </w:r>
    </w:p>
    <w:p>
      <w:pPr>
        <w:widowControl/>
        <w:spacing w:after="280" w:line="312" w:lineRule="auto"/>
        <w:ind w:firstLine="567"/>
        <w:jc w:val="both"/>
      </w:pPr>
      <w:r>
        <w:rPr>
          <w:rFonts w:ascii="Inter" w:hAnsi="Inter"/>
          <w:color w:val="655D50"/>
          <w:sz w:val="24"/>
        </w:rPr>
        <w:t>Договор заключается посредством направления оферты (предложения заключить договор) одной из сторон и ее акцепта (принятия предложения) другой стороной (пункт 2 статьи 432 Гражданского кодекса Российской Федерации).</w:t>
      </w:r>
    </w:p>
    <w:p>
      <w:pPr>
        <w:widowControl/>
        <w:spacing w:after="280" w:line="312" w:lineRule="auto"/>
        <w:ind w:firstLine="567"/>
        <w:jc w:val="both"/>
      </w:pPr>
      <w:r>
        <w:rPr>
          <w:rFonts w:ascii="Inter" w:hAnsi="Inter"/>
          <w:color w:val="655D50"/>
          <w:sz w:val="24"/>
        </w:rPr>
        <w:t>В силу пункта 1 статьи 435 указанного кодекса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w:t>
      </w:r>
    </w:p>
    <w:p>
      <w:pPr>
        <w:widowControl/>
        <w:spacing w:after="280" w:line="312" w:lineRule="auto"/>
        <w:ind w:firstLine="567"/>
        <w:jc w:val="both"/>
      </w:pPr>
      <w:r>
        <w:rPr>
          <w:rFonts w:ascii="Inter" w:hAnsi="Inter"/>
          <w:color w:val="655D50"/>
          <w:sz w:val="24"/>
        </w:rPr>
        <w:t>В соответствии со статьей 820 названного кодекса кредитный договор должен быть заключен в письменной форме.</w:t>
      </w:r>
    </w:p>
    <w:p>
      <w:pPr>
        <w:widowControl/>
        <w:spacing w:after="280" w:line="312" w:lineRule="auto"/>
        <w:ind w:firstLine="567"/>
        <w:jc w:val="both"/>
      </w:pPr>
      <w:r>
        <w:rPr>
          <w:rFonts w:ascii="Inter" w:hAnsi="Inter"/>
          <w:color w:val="655D50"/>
          <w:sz w:val="24"/>
        </w:rPr>
        <w:t>Несоблюдение письменной формы влечет недействительность кредитного договора. Такой договор считается ничтожным.</w:t>
      </w:r>
    </w:p>
    <w:p>
      <w:pPr>
        <w:widowControl/>
        <w:spacing w:after="280" w:line="312" w:lineRule="auto"/>
        <w:ind w:firstLine="567"/>
        <w:jc w:val="both"/>
      </w:pPr>
      <w:r>
        <w:rPr>
          <w:rFonts w:ascii="Inter" w:hAnsi="Inter"/>
          <w:color w:val="655D50"/>
          <w:sz w:val="24"/>
        </w:rPr>
        <w:t>В силу пункта 1 статьи 160 этого кодекса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pPr>
        <w:widowControl/>
        <w:spacing w:after="280" w:line="312" w:lineRule="auto"/>
        <w:ind w:firstLine="567"/>
        <w:jc w:val="both"/>
      </w:pPr>
      <w:r>
        <w:rPr>
          <w:rFonts w:ascii="Inter" w:hAnsi="Inter"/>
          <w:color w:val="655D50"/>
          <w:sz w:val="24"/>
        </w:rP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pPr>
        <w:widowControl/>
        <w:spacing w:after="280" w:line="312" w:lineRule="auto"/>
        <w:ind w:firstLine="567"/>
        <w:jc w:val="both"/>
      </w:pPr>
      <w:r>
        <w:rPr>
          <w:rFonts w:ascii="Inter" w:hAnsi="Inter"/>
          <w:color w:val="655D50"/>
          <w:sz w:val="24"/>
        </w:rPr>
        <w:t>В части 2 статьи 5 Федерального закона от 6 апреля 2011 г. № 63-ФЗ "Об электронной подписи" определено, что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pPr>
        <w:widowControl/>
        <w:spacing w:after="280" w:line="312" w:lineRule="auto"/>
        <w:ind w:firstLine="567"/>
        <w:jc w:val="both"/>
      </w:pPr>
      <w:r>
        <w:rPr>
          <w:rFonts w:ascii="Inter" w:hAnsi="Inter"/>
          <w:color w:val="655D50"/>
          <w:sz w:val="24"/>
        </w:rPr>
        <w:t>В части 2 статьи 6 указанного закона закреплено, что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или соглашением между участниками электронного взаимодействия, в том числе правилами платежных систем.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статьи 9 данного закона.</w:t>
      </w:r>
    </w:p>
    <w:p>
      <w:pPr>
        <w:widowControl/>
        <w:spacing w:after="280" w:line="312" w:lineRule="auto"/>
        <w:ind w:firstLine="567"/>
        <w:jc w:val="both"/>
      </w:pPr>
      <w:r>
        <w:rPr>
          <w:rFonts w:ascii="Inter" w:hAnsi="Inter"/>
          <w:color w:val="655D50"/>
          <w:sz w:val="24"/>
        </w:rPr>
        <w:t>Электронный документ согласно статье 9 названного закона считается подписанным простой электронной подписью при выполнении в том числе одного из следующих условий:</w:t>
      </w:r>
    </w:p>
    <w:p>
      <w:pPr>
        <w:widowControl/>
        <w:spacing w:after="280" w:line="312" w:lineRule="auto"/>
        <w:ind w:firstLine="567"/>
        <w:jc w:val="both"/>
      </w:pPr>
      <w:r>
        <w:rPr>
          <w:rFonts w:ascii="Inter" w:hAnsi="Inter"/>
          <w:color w:val="655D50"/>
          <w:sz w:val="24"/>
        </w:rPr>
        <w:t>1) простая электронная подпись содержится в самом электронном документе;</w:t>
      </w:r>
    </w:p>
    <w:p>
      <w:pPr>
        <w:widowControl/>
        <w:spacing w:after="280" w:line="312" w:lineRule="auto"/>
        <w:ind w:firstLine="567"/>
        <w:jc w:val="both"/>
      </w:pPr>
      <w:r>
        <w:rPr>
          <w:rFonts w:ascii="Inter" w:hAnsi="Inter"/>
          <w:color w:val="655D50"/>
          <w:sz w:val="24"/>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pPr>
        <w:widowControl/>
        <w:spacing w:after="280" w:line="312" w:lineRule="auto"/>
        <w:ind w:firstLine="567"/>
        <w:jc w:val="both"/>
      </w:pPr>
      <w:r>
        <w:rPr>
          <w:rFonts w:ascii="Inter" w:hAnsi="Inter"/>
          <w:color w:val="655D50"/>
          <w:sz w:val="24"/>
        </w:rPr>
        <w:t>В части 2 этой же статьи указано, что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pPr>
        <w:widowControl/>
        <w:spacing w:after="280" w:line="312" w:lineRule="auto"/>
        <w:ind w:firstLine="567"/>
        <w:jc w:val="both"/>
      </w:pPr>
      <w:r>
        <w:rPr>
          <w:rFonts w:ascii="Inter" w:hAnsi="Inter"/>
          <w:color w:val="655D50"/>
          <w:sz w:val="24"/>
        </w:rPr>
        <w:t>1) правила определения лица, подписывающего электронный документ, по его простой электронной подписи;</w:t>
      </w:r>
    </w:p>
    <w:p>
      <w:pPr>
        <w:widowControl/>
        <w:spacing w:after="280" w:line="312" w:lineRule="auto"/>
        <w:ind w:firstLine="567"/>
        <w:jc w:val="both"/>
      </w:pPr>
      <w:r>
        <w:rPr>
          <w:rFonts w:ascii="Inter" w:hAnsi="Inter"/>
          <w:color w:val="655D50"/>
          <w:sz w:val="24"/>
        </w:rPr>
        <w:t>2) обязанность лица, создающего и (или) использующего ключ простой электронной подписи, соблюдать его конфиденциальность.</w:t>
      </w:r>
    </w:p>
    <w:p>
      <w:pPr>
        <w:widowControl/>
        <w:spacing w:after="280" w:line="312" w:lineRule="auto"/>
        <w:ind w:firstLine="567"/>
        <w:jc w:val="both"/>
      </w:pPr>
      <w:r>
        <w:rPr>
          <w:rFonts w:ascii="Inter" w:hAnsi="Inter"/>
          <w:color w:val="655D50"/>
          <w:sz w:val="24"/>
        </w:rPr>
        <w:t>Таким образом, при заключении договора потребительского кредита, а также при предложении дополнительных услуг, оказываемых кредитором и (или) третьими лицами, включая страхование жизни и (или) здоровья заемщика в пользу кредитора, а также иного страхового интереса заемщика, в том числе с помощью электронных либо иных технических средств кредитором до сведения заемщика должна быть своевременно доведена необходимая и достоверная информация об услугах, обеспечивающая возможность их правильного выбора, при этом индивидуальные условия договора потребительского кредита должны быть в обязательном порядке согласованы кредитором и заемщиком индивидуально.</w:t>
      </w:r>
    </w:p>
    <w:p>
      <w:pPr>
        <w:widowControl/>
        <w:spacing w:after="280" w:line="312" w:lineRule="auto"/>
        <w:ind w:firstLine="567"/>
        <w:jc w:val="both"/>
      </w:pPr>
      <w:r>
        <w:rPr>
          <w:rFonts w:ascii="Inter" w:hAnsi="Inter"/>
          <w:color w:val="655D50"/>
          <w:sz w:val="24"/>
        </w:rPr>
        <w:t>В случае совершения лицом сделки с помощью электронных либо иных технических средств его письменная форма считается соблюденной, если эти средства позволяют воспроизвести на материальном носителе содержание договора в неизменном виде (в частности, при распечатывании).</w:t>
      </w:r>
    </w:p>
    <w:p>
      <w:pPr>
        <w:widowControl/>
        <w:spacing w:after="280" w:line="312" w:lineRule="auto"/>
        <w:ind w:firstLine="567"/>
        <w:jc w:val="both"/>
      </w:pPr>
      <w:r>
        <w:rPr>
          <w:rFonts w:ascii="Inter" w:hAnsi="Inter"/>
          <w:color w:val="655D50"/>
          <w:sz w:val="24"/>
        </w:rP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или соглашением между участниками электронного взаимодействия, которые должны предусматривать в том числе правила определения лица, подписывающего электронный документ, по его простой электронной подписи.</w:t>
      </w:r>
    </w:p>
    <w:p>
      <w:pPr>
        <w:widowControl/>
        <w:spacing w:after="280" w:line="312" w:lineRule="auto"/>
        <w:ind w:firstLine="567"/>
        <w:jc w:val="both"/>
      </w:pPr>
      <w:r>
        <w:rPr>
          <w:rFonts w:ascii="Inter" w:hAnsi="Inter"/>
          <w:color w:val="655D50"/>
          <w:sz w:val="24"/>
        </w:rPr>
        <w:t>Соответственно, для обеспечения документа, подписанного простой электронной подписью, юридической силой необходимо идентифицировать лицо, которое использует простую электронную подпись, понятие которой в законе определено не только через наличие присущих ей технических признаков - использование кодов, паролей или иных средств, но и через ее функциональные характеристики - необходимость подтверждения факта формирования электронной подписи определенным лицом.</w:t>
      </w:r>
    </w:p>
    <w:p>
      <w:pPr>
        <w:widowControl/>
        <w:spacing w:after="280" w:line="312" w:lineRule="auto"/>
        <w:ind w:firstLine="567"/>
        <w:jc w:val="both"/>
      </w:pPr>
      <w:r>
        <w:rPr>
          <w:rFonts w:ascii="Inter" w:hAnsi="Inter"/>
          <w:color w:val="655D50"/>
          <w:sz w:val="24"/>
        </w:rPr>
        <w:t>Согласно позиции Банка России, изложенной в информационном письме от 3 февраля 2022 г. № ИН-02-59/6 "О порядке согласования с заемщиками индивидуальных условий договора потребительского кредита (займа)", индивидуальные условия договора потребительского кредита (займа) подлежат отражению в табличной форме и подписанию заемщиком. При этом частью 14 статьи 7 Закона о потребительском кредите установлена возможность подписания заемщиком индивидуальных условий договора потребительского кредита (займа) также с использованием аналога собственноручной подписи способом, подтверждающим ее принадлежность заемщику в соответствии с требованиями федеральных законов.</w:t>
      </w:r>
    </w:p>
    <w:p>
      <w:pPr>
        <w:widowControl/>
        <w:spacing w:after="280" w:line="312" w:lineRule="auto"/>
        <w:ind w:firstLine="567"/>
        <w:jc w:val="both"/>
      </w:pPr>
      <w:r>
        <w:rPr>
          <w:rFonts w:ascii="Inter" w:hAnsi="Inter"/>
          <w:color w:val="655D50"/>
          <w:sz w:val="24"/>
        </w:rPr>
        <w:t>Банком России выявлено использование кредиторами практик заключения договора потребительского кредита (займа), при которых согласие заемщика выражается посредством совершения действий, свидетельствующих о его согласии с предлагаемыми кредитором индивидуальными условиями (конклюдентные действия), либо телефонного звонка в адрес кредитора с информированием последнего о согласии на получение потребительского кредита (займа) на предложенных индивидуальных условиях. Как в первом, так и во втором случае, по мнению Банка России, устанавливающего правила проведения банковских операций, заемщиком индивидуальные условия договора потребительского кредита (займа) не подписываются ни собственноручной подписью, ни ее аналогом.</w:t>
      </w:r>
    </w:p>
    <w:p>
      <w:pPr>
        <w:widowControl/>
        <w:spacing w:after="280" w:line="312" w:lineRule="auto"/>
        <w:ind w:firstLine="567"/>
        <w:jc w:val="both"/>
      </w:pPr>
      <w:r>
        <w:rPr>
          <w:rFonts w:ascii="Inter" w:hAnsi="Inter"/>
          <w:color w:val="655D50"/>
          <w:sz w:val="24"/>
        </w:rPr>
        <w:t>Таким образом, по мнению Банка России, подобные практики не могут быть признаны надлежащими и соответствующими требованиям Закона о потребительском кредите.</w:t>
      </w:r>
    </w:p>
    <w:p>
      <w:pPr>
        <w:widowControl/>
        <w:spacing w:after="280" w:line="312" w:lineRule="auto"/>
        <w:ind w:firstLine="567"/>
        <w:jc w:val="both"/>
      </w:pPr>
      <w:r>
        <w:rPr>
          <w:rFonts w:ascii="Inter" w:hAnsi="Inter"/>
          <w:color w:val="655D50"/>
          <w:sz w:val="24"/>
        </w:rPr>
        <w:t>Как установлено судами действия Юденковой А.Н. по заключению договора потребительского кредита и договора страхования выполнены путем набора цифрового кода-подтверждения, после чего сразу же стали списываться денежные средства со счета истца на счета неких физических лиц - 15 списаний на сумму 19 999, 99 руб. каждое.</w:t>
      </w:r>
    </w:p>
    <w:p>
      <w:pPr>
        <w:widowControl/>
        <w:spacing w:after="280" w:line="312" w:lineRule="auto"/>
        <w:ind w:firstLine="567"/>
        <w:jc w:val="both"/>
      </w:pPr>
      <w:r>
        <w:rPr>
          <w:rFonts w:ascii="Inter" w:hAnsi="Inter"/>
          <w:color w:val="655D50"/>
          <w:sz w:val="24"/>
        </w:rPr>
        <w:t>Также из предоставленных кредитных средств на сумму 1 302 483 руб. банком в счет оплаты страховой премии списаны денежные средства в размере 148 483 руб. Из текста страхового полиса следует, что он был выдан на основании устного заявления страхователя.</w:t>
      </w:r>
    </w:p>
    <w:p>
      <w:pPr>
        <w:widowControl/>
        <w:spacing w:after="280" w:line="312" w:lineRule="auto"/>
        <w:ind w:firstLine="567"/>
        <w:jc w:val="both"/>
      </w:pPr>
      <w:r>
        <w:rPr>
          <w:rFonts w:ascii="Inter" w:hAnsi="Inter"/>
          <w:color w:val="655D50"/>
          <w:sz w:val="24"/>
        </w:rPr>
        <w:t>Указанные операции совершены в короткий промежуток времени с 12:27 по 12:35, пока Юденковой А.Н. не была заблокирована карта.</w:t>
      </w:r>
    </w:p>
    <w:p>
      <w:pPr>
        <w:widowControl/>
        <w:spacing w:after="280" w:line="312" w:lineRule="auto"/>
        <w:ind w:firstLine="567"/>
        <w:jc w:val="both"/>
      </w:pPr>
      <w:r>
        <w:rPr>
          <w:rFonts w:ascii="Inter" w:hAnsi="Inter"/>
          <w:color w:val="655D50"/>
          <w:sz w:val="24"/>
        </w:rPr>
        <w:t>Из объяснений истицы следует, что она не имела намерений и не выражала волеизъявления на заключение спорного кредитного договора, такой договор заключен вопреки ее воли и интересам.</w:t>
      </w:r>
    </w:p>
    <w:p>
      <w:pPr>
        <w:widowControl/>
        <w:spacing w:after="280" w:line="312" w:lineRule="auto"/>
        <w:ind w:firstLine="567"/>
        <w:jc w:val="both"/>
      </w:pPr>
      <w:r>
        <w:rPr>
          <w:rFonts w:ascii="Inter" w:hAnsi="Inter"/>
          <w:color w:val="655D50"/>
          <w:sz w:val="24"/>
        </w:rPr>
        <w:t>В соответствии с пунктом 3 Признаков осуществления перевода денежных средств без согласия клиента, утвержденных приказом Банка России от 27 сентября 2018 г. № ОД-2525 (действующим на момент возникновения спорных отношений), к таким признакам относится несоответствие характера, и (или) параметров, и (или) объема проводимой операции (время (дни) осуществления операции, место осуществления операции, устройство, с использованием которого осуществляется операция и параметры его использования, сумма осуществления операции, периодичность (частота) осуществления операций, получатель средств) операциям, обычно совершаемым клиентом оператора по переводу денежных средств (осуществляемой клиентом деятельности).</w:t>
      </w:r>
    </w:p>
    <w:p>
      <w:pPr>
        <w:widowControl/>
        <w:spacing w:after="280" w:line="312" w:lineRule="auto"/>
        <w:ind w:firstLine="567"/>
        <w:jc w:val="both"/>
      </w:pPr>
      <w:r>
        <w:rPr>
          <w:rFonts w:ascii="Inter" w:hAnsi="Inter"/>
          <w:color w:val="655D50"/>
          <w:sz w:val="24"/>
        </w:rPr>
        <w:t>Как разъяснено Конституционным Судом Российской Федерации в определении от 13 октября 2022 г. № 2669-О, к числу обстоятельств, при которых кредитной организации в случае дистанционного оформления кредитного договора надлежит принимать повышенные меры предосторожности, следует отнести факт подачи заявки на получение клиентом кредита и незамедлительной выдачи банку распоряжения о перечислении кредитных денежных средств в пользу третьего лица (лиц).</w:t>
      </w:r>
    </w:p>
    <w:p>
      <w:pPr>
        <w:widowControl/>
        <w:spacing w:after="280" w:line="312" w:lineRule="auto"/>
        <w:ind w:firstLine="567"/>
        <w:jc w:val="both"/>
      </w:pPr>
      <w:r>
        <w:rPr>
          <w:rFonts w:ascii="Inter" w:hAnsi="Inter"/>
          <w:color w:val="655D50"/>
          <w:sz w:val="24"/>
        </w:rPr>
        <w:t>Таким образом, Банку надлежало установить, что порядок подписания договора соблюден, то есть убедиться, что намерение заключить договор исходит от надлежащего лица и обеспечить безопасность дистанционного предоставления услуг, идентифицировать клиента надлежащим образом.</w:t>
      </w:r>
    </w:p>
    <w:p>
      <w:pPr>
        <w:widowControl/>
        <w:spacing w:after="280" w:line="312" w:lineRule="auto"/>
        <w:ind w:firstLine="567"/>
        <w:jc w:val="both"/>
      </w:pPr>
      <w:r>
        <w:rPr>
          <w:rFonts w:ascii="Inter" w:hAnsi="Inter"/>
          <w:color w:val="655D50"/>
          <w:sz w:val="24"/>
        </w:rPr>
        <w:t>В определении Конституционного Суда Российской Федерации от 13 октября 2022 г. № 2669-О указано, что в большинстве случаев телефонного мошенничества сделки оспариваются как совершенные под влиянием обмана потерпевшего третьим лицом. При рассмотрении таких споров особого внимания требует исследование добросовестности и осмотрительности банков. В частности, к числу обстоятельств, при которых кредитной организации в случае дистанционного оформления кредитного договора надлежит принимать повышенные меры предосторожности, следует отнести факт подачи заявки на получение клиентом кредита и незамедлительная выдача банку распоряжения о перечислении кредитных денежных средств в пользу третьего лица (лиц).</w:t>
      </w:r>
    </w:p>
    <w:p>
      <w:pPr>
        <w:widowControl/>
        <w:spacing w:after="280" w:line="312" w:lineRule="auto"/>
        <w:ind w:firstLine="567"/>
        <w:jc w:val="both"/>
      </w:pPr>
      <w:r>
        <w:rPr>
          <w:rFonts w:ascii="Inter" w:hAnsi="Inter"/>
          <w:color w:val="655D50"/>
          <w:sz w:val="24"/>
        </w:rPr>
        <w:t>В этой связи, надлежало установить, действовал ли банк с достаточной степенью заботливости и осмотрительности, которые ожидались от него как от профессионального участника гражданского оборота.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судами допущены нарушения норм права, которые являются существенными и которые могут быть устранены только посредством отмены обжалуемых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 не установил, действовал ли банк с достаточной степенью заботливости и осмотрительности, которая ожидалась от него как от профессионального участника гражданского оборота.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27.01.2026 № 78-КГ25-38-К3 (УИД 77RS0009-02-2023-00284976)</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27.01.2026 № 78-КГ25-38-К3 (УИД 77RS0009-02-2023-00284976)</dc:title>
  <dc:subject/>
  <dc:creator>CasusLegal</dc:creator>
  <cp:keywords/>
  <dc:description/>
  <cp:lastModifiedBy>CasusLegal</cp:lastModifiedBy>
  <cp:revision>1</cp:revision>
  <dcterms:created xsi:type="dcterms:W3CDTF">2026-08-16T11:32:41Z</dcterms:created>
  <dcterms:modified xsi:type="dcterms:W3CDTF">2026-08-16T11:32:41Z</dcterms:modified>
  <cp:category/>
</cp:coreProperties>
</file>