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23.06.2015 № 25</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23.06.2015</w:t>
      </w:r>
    </w:p>
    <w:p>
      <w:pPr>
        <w:spacing w:after="40"/>
      </w:pPr>
      <w:r>
        <w:rPr>
          <w:rFonts w:ascii="Inter" w:hAnsi="Inter"/>
          <w:b/>
          <w:color w:val="8B8171"/>
          <w:sz w:val="18"/>
        </w:rPr>
        <w:t xml:space="preserve">Номер дела: </w:t>
      </w:r>
      <w:r>
        <w:rPr>
          <w:rFonts w:ascii="Inter" w:hAnsi="Inter"/>
          <w:color w:val="655D50"/>
          <w:sz w:val="18"/>
        </w:rPr>
        <w:t>25</w:t>
      </w:r>
    </w:p>
    <w:p>
      <w:pPr>
        <w:spacing w:after="40"/>
      </w:pPr>
      <w:r>
        <w:rPr>
          <w:rFonts w:ascii="Inter" w:hAnsi="Inter"/>
          <w:b/>
          <w:color w:val="8B8171"/>
          <w:sz w:val="18"/>
        </w:rPr>
        <w:t xml:space="preserve">Применённые нормы: </w:t>
      </w:r>
      <w:r>
        <w:rPr>
          <w:rFonts w:ascii="Inter" w:hAnsi="Inter"/>
          <w:color w:val="655D50"/>
          <w:sz w:val="18"/>
        </w:rPr>
        <w:t>ст. 1 ГК РФ, ст. 1 ГПК РФ, ст. 10 ГК РФ, ст. 1064 ГК РФ, ст. 1066 ГК РФ, ст. 1067 ГК РФ, ст. 1069 ГК РФ, ст. 1079 ГК РФ, ст. 1104 ГК РФ, ст. 12 ГК РФ, ст. 124 ГК РФ, ст. 126 ФЗ, ст. 1268 ГК РФ, ст. 128 АПК РФ, ст. 13 ГПК РФ, ст. 130 ГК РФ, ст. 131 ГК РФ, ст. 133 ГК РФ, ст. 133.1 ГК РФ, ст. 135 ГПК РФ, ст. 136 ГПК РФ, ст. 14 ГК РФ, ст. 147.1 ГК РФ, ст. 148 АПК РФ, ст. 15 ГК РФ, ст. 152.1 ГК РФ, ст. 152.2 ГК РФ, ст. 153 ГК РФ, ст. 154 ГК РФ, ст. 157 ГК РФ, ст. 157.1 ГК РФ, ст. 158 ГК РФ, ст. 16 АПК РФ, ст. 16.1 ГК РФ, ст. 163 ГК РФ, ст. 165 ГК РФ, ст. 165.1 ГК РФ, ст. 166 ГК РФ, ст. 167 ГК РФ, ст. 168 АПК РФ, ст. 168 ГК РФ, ст. 169 ГК РФ, ст. 170 ГК РФ, ст. 171 ГК РФ, ст. 172 ГК РФ, ст. 173.1 ГК РФ, ст. 174 ГК РФ, ст. 174.1 ГК РФ, ст. 179 ГК РФ, ст. 18 ФЗ, ст. 180 ГК РФ, ст. 181 ГК РФ, ст. 181.1 ГК РФ, ст. 181.2 ГК РФ, ст. 181.4 ГК РФ, ст. 181.5 ГК РФ, ст. 182 ГК РФ, ст. 183 ГК РФ, ст. 185 ГК РФ, ст. 185.1 ГК РФ, ст. 187 ГК РФ, ст. 188 ГК РФ, ст. 189 ГК РФ, ст. 196 ГК РФ, ст. 196 ГПК РФ, ст. 2 ФЗ, ст. 20 ГК РФ, ст. 200 ГК РФ, ст. 21 ФЗ, ст. 218 ГК РФ, ст. 22 ГПК РФ, ст. 222 ГПК РФ, ст. 225.1 АПК РФ, ст. 225.10 АПК РФ, ст. 225.16 АПК РФ, ст. 23 ФЗ, ст. 250 ГК РФ, ст. 26 ГК РФ, ст. 28 ГК РФ, ст. 29 ГК РФ, ст. 29 ФЗ, ст. 290 ГК РФ, ст. 292 ГК РФ, ст. 3 ГК РФ, ст. 3 ФЗ, ст. 30 ГК РФ, ст. 301 ГК РФ, ст. 32 ФЗ, ст. 334 ГК РФ, ст. 342 ГК РФ, ст. 342.1 ГК РФ, ст. 35 СК РФ, ст. 352 ГК РФ, ст. 36 ЖК РФ, ст. 383 ГК РФ, ст. 385 ГК РФ, ст. 391 ГК РФ, ст. 393 ГК РФ, ст. 398 ГК РФ, ст. 401 ГК РФ, ст. 421 ГК РФ, ст. 426 ГК РФ, ст. 433 ГК РФ, ст. 439 ГК РФ, ст. 45 ФЗ, ст. 450.1 ГК РФ, ст. 461 ГК РФ, ст. 48 ФЗ, ст. 49 ГК РФ, ст. 5 ГК РФ, ст. 50 ГК РФ, ст. 51 ГК РФ, ст. 53 ГК РФ, ст. 53 ГПК РФ, ст. 53.1 ГК РФ, ст. 54 ГК РФ, ст. 55 ГПК РФ, ст. 551 ГК РФ, ст. 56 ГПК РФ, ст. 572 ГК РФ, ст. 58 ГК РФ, ст. 596 ГК РФ, ст. 6 ГК РФ, ст. 60 ГК РФ, ст. 61 АПК РФ, ст. 61 ГК РФ, ст. 65 АПК РФ, ст. 65.1 ГК РФ, ст. 65.2 ГК РФ, ст. 65.3 ГК РФ, ст. 67 ГК РФ, ст. 67.1 ГК РФ, ст. 67.2 ГК РФ, ст. 75 ГК РФ, ст. 790 ГК РФ, ст. 8.1 ГК РФ, ст. 820 ГК РФ, ст. 836 ГК РФ, ст. 84 ФЗ, ст. 928 ГК РФ, ст. 93 ГК РФ</w:t>
      </w:r>
    </w:p>
    <w:p>
      <w:pPr>
        <w:spacing w:after="40"/>
      </w:pPr>
      <w:r>
        <w:rPr>
          <w:rFonts w:ascii="Inter" w:hAnsi="Inter"/>
          <w:b/>
          <w:color w:val="8B8171"/>
          <w:sz w:val="18"/>
        </w:rPr>
        <w:t xml:space="preserve">Теги: </w:t>
      </w:r>
      <w:r>
        <w:rPr>
          <w:rFonts w:ascii="Inter" w:hAnsi="Inter"/>
          <w:color w:val="655D50"/>
          <w:sz w:val="18"/>
        </w:rPr>
        <w:t>Гражданское право, Добросовестность, Обычай, Государственная регистрация прав, Статья 1 ГК РФ, Статья 5 ГК РФ, Статья 8.1 ГК РФ, Статья 10 ГК РФ</w:t>
      </w:r>
    </w:p>
    <w:p>
      <w:pPr>
        <w:spacing w:before="280" w:after="80"/>
      </w:pPr>
      <w:r>
        <w:rPr>
          <w:rFonts w:ascii="Cormorant Garamond" w:hAnsi="Cormorant Garamond"/>
          <w:b/>
          <w:color w:val="B63A26"/>
          <w:sz w:val="28"/>
        </w:rPr>
        <w:t>Пункт 93</w:t>
      </w:r>
    </w:p>
    <w:p>
      <w:pPr>
        <w:widowControl/>
        <w:spacing w:after="280" w:line="312" w:lineRule="auto"/>
        <w:ind w:firstLine="567"/>
        <w:jc w:val="both"/>
      </w:pPr>
      <w:r>
        <w:rPr>
          <w:rFonts w:ascii="Inter" w:hAnsi="Inter"/>
          <w:color w:val="655D50"/>
          <w:sz w:val="24"/>
        </w:rPr>
        <w:t>Пунктом 2 статьи 174 ГК РФ предусмотрены два основания недействительности сделки, совершенной представителем или действующим от имени юридического лица без доверенности органом юридического лица (далее в этом пункте - представитель).</w:t>
      </w:r>
    </w:p>
    <w:p>
      <w:pPr>
        <w:widowControl/>
        <w:spacing w:after="280" w:line="312" w:lineRule="auto"/>
        <w:ind w:firstLine="567"/>
        <w:jc w:val="both"/>
      </w:pPr>
      <w:r>
        <w:rPr>
          <w:rFonts w:ascii="Inter" w:hAnsi="Inter"/>
          <w:color w:val="655D50"/>
          <w:sz w:val="24"/>
        </w:rPr>
        <w:t>По первому основанию сделка может быть признана недействительной, когда вне зависимости от наличия обстоятельств, свидетельствующих о сговоре либо об иных совместных действиях представителя и другой стороны сделки, представителем совершена сделка, причинившая представляемому явный ущерб, о чем другая сторона сделки знала или должна была знать.</w:t>
      </w:r>
    </w:p>
    <w:p>
      <w:pPr>
        <w:widowControl/>
        <w:spacing w:after="280" w:line="312" w:lineRule="auto"/>
        <w:ind w:firstLine="567"/>
        <w:jc w:val="both"/>
      </w:pPr>
      <w:r>
        <w:rPr>
          <w:rFonts w:ascii="Inter" w:hAnsi="Inter"/>
          <w:color w:val="655D50"/>
          <w:sz w:val="24"/>
        </w:rPr>
        <w:t>О наличии явного ущерба свидетельствует совершение сделки на заведомо и значительно невыгодных условиях, например, если предоставление, полученное по сделке, в несколько раз ниже стоимости предоставления, совершенного в пользу контрагента. При этом следует исходить из того, что другая сторона должна была знать о наличии явного ущерба в том случае, если это было бы очевидно для любого участника сделки в момент ее заключения.</w:t>
      </w:r>
    </w:p>
    <w:p>
      <w:pPr>
        <w:widowControl/>
        <w:spacing w:after="280" w:line="312" w:lineRule="auto"/>
        <w:ind w:firstLine="567"/>
        <w:jc w:val="both"/>
      </w:pPr>
      <w:r>
        <w:rPr>
          <w:rFonts w:ascii="Inter" w:hAnsi="Inter"/>
          <w:color w:val="655D50"/>
          <w:sz w:val="24"/>
        </w:rPr>
        <w:t>По этому основанию сделка не может быть признана недействительной, если имели место обстоятельства, позволяющие считать ее экономически оправданной (например, совершение сделки было способом предотвращения еще больших убытков для юридического лица или представляемого, сделка хотя и являлась сама по себе убыточной, но была частью взаимосвязанных сделок, объединенных общей хозяйственной целью, в результате которых юридическое лицо или представляемый получили выгоду, невыгодные условия сделки были результатом взаимных равноценных уступок в отношениях с контрагентом, в том числе по другим сделкам).</w:t>
      </w:r>
    </w:p>
    <w:p>
      <w:pPr>
        <w:widowControl/>
        <w:spacing w:after="280" w:line="312" w:lineRule="auto"/>
        <w:ind w:firstLine="567"/>
        <w:jc w:val="both"/>
      </w:pPr>
      <w:r>
        <w:rPr>
          <w:rFonts w:ascii="Inter" w:hAnsi="Inter"/>
          <w:color w:val="655D50"/>
          <w:sz w:val="24"/>
        </w:rPr>
        <w:t>По второму основанию сделка может быть признана недействительной, если установлено наличие обстоятельств, которые свидетельствовали о сговоре либо об иных совместных действиях представителя и другой стороны сделки в ущерб интересам представляемого, который может заключаться как в любых материальных потерях, так и в нарушении иных охраняемых законом интересов (например, утрате корпоративного контроля, умалении деловой репутации).</w:t>
      </w:r>
    </w:p>
    <w:p>
      <w:pPr>
        <w:widowControl/>
        <w:spacing w:after="280" w:line="312" w:lineRule="auto"/>
        <w:ind w:firstLine="567"/>
        <w:jc w:val="both"/>
      </w:pPr>
      <w:r>
        <w:rPr>
          <w:rFonts w:ascii="Inter" w:hAnsi="Inter"/>
          <w:color w:val="655D50"/>
          <w:sz w:val="24"/>
        </w:rPr>
        <w:t>Наличие решения общего собрания участников (акционеров) хозяйственного общества об одобрении сделки в порядке, установленном для одобрения крупных сделок и сделок с заинтересованностью, не препятствует признанию соответствующей сделки общества, совершенной в ущерб его интересам, недействительной, если будут доказаны обстоятельства, указанные в пункте 2 статьи 174 ГК РФ.</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23.06.2015 № 25</dc:title>
  <dc:subject/>
  <dc:creator>CasusLegal</dc:creator>
  <cp:keywords/>
  <dc:description/>
  <cp:lastModifiedBy>CasusLegal</cp:lastModifiedBy>
  <cp:revision>1</cp:revision>
  <dcterms:created xsi:type="dcterms:W3CDTF">2026-08-16T12:13:57Z</dcterms:created>
  <dcterms:modified xsi:type="dcterms:W3CDTF">2026-08-16T12:13:57Z</dcterms:modified>
  <cp:category/>
</cp:coreProperties>
</file>