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23.06.2015 № 25</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23.06.2015</w:t>
      </w:r>
    </w:p>
    <w:p>
      <w:pPr>
        <w:spacing w:after="40"/>
      </w:pPr>
      <w:r>
        <w:rPr>
          <w:rFonts w:ascii="Inter" w:hAnsi="Inter"/>
          <w:b/>
          <w:color w:val="8B8171"/>
          <w:sz w:val="18"/>
        </w:rPr>
        <w:t xml:space="preserve">Номер дела: </w:t>
      </w:r>
      <w:r>
        <w:rPr>
          <w:rFonts w:ascii="Inter" w:hAnsi="Inter"/>
          <w:color w:val="655D50"/>
          <w:sz w:val="18"/>
        </w:rPr>
        <w:t>25</w:t>
      </w:r>
    </w:p>
    <w:p>
      <w:pPr>
        <w:spacing w:after="40"/>
      </w:pPr>
      <w:r>
        <w:rPr>
          <w:rFonts w:ascii="Inter" w:hAnsi="Inter"/>
          <w:b/>
          <w:color w:val="8B8171"/>
          <w:sz w:val="18"/>
        </w:rPr>
        <w:t xml:space="preserve">Применённые нормы: </w:t>
      </w:r>
      <w:r>
        <w:rPr>
          <w:rFonts w:ascii="Inter" w:hAnsi="Inter"/>
          <w:color w:val="655D50"/>
          <w:sz w:val="18"/>
        </w:rPr>
        <w:t>ст. 1 ГК РФ, ст. 1 ГПК РФ, ст. 10 ГК РФ, ст. 1064 ГК РФ, ст. 1066 ГК РФ, ст. 1067 ГК РФ, ст. 1069 ГК РФ, ст. 1079 ГК РФ, ст. 1104 ГК РФ, ст. 12 ГК РФ, ст. 124 ГК РФ, ст. 126 ФЗ, ст. 1268 ГК РФ, ст. 128 АПК РФ, ст. 13 ГПК РФ, ст. 130 ГК РФ, ст. 131 ГК РФ, ст. 133 ГК РФ, ст. 133.1 ГК РФ, ст. 135 ГПК РФ, ст. 136 ГПК РФ, ст. 14 ГК РФ, ст. 147.1 ГК РФ, ст. 148 АПК РФ, ст. 15 ГК РФ, ст. 152.1 ГК РФ, ст. 152.2 ГК РФ, ст. 153 ГК РФ, ст. 154 ГК РФ, ст. 157 ГК РФ, ст. 157.1 ГК РФ, ст. 158 ГК РФ, ст. 16 АПК РФ, ст. 16.1 ГК РФ, ст. 163 ГК РФ, ст. 165 ГК РФ, ст. 165.1 ГК РФ, ст. 166 ГК РФ, ст. 167 ГК РФ, ст. 168 АПК РФ, ст. 168 ГК РФ, ст. 169 ГК РФ, ст. 170 ГК РФ, ст. 171 ГК РФ, ст. 172 ГК РФ, ст. 173.1 ГК РФ, ст. 174 ГК РФ, ст. 174.1 ГК РФ, ст. 179 ГК РФ, ст. 18 ФЗ, ст. 180 ГК РФ, ст. 181 ГК РФ, ст. 181.1 ГК РФ, ст. 181.2 ГК РФ, ст. 181.4 ГК РФ, ст. 181.5 ГК РФ, ст. 182 ГК РФ, ст. 183 ГК РФ, ст. 185 ГК РФ, ст. 185.1 ГК РФ, ст. 187 ГК РФ, ст. 188 ГК РФ, ст. 189 ГК РФ, ст. 196 ГК РФ, ст. 196 ГПК РФ, ст. 2 ФЗ, ст. 20 ГК РФ, ст. 200 ГК РФ, ст. 21 ФЗ, ст. 218 ГК РФ, ст. 22 ГПК РФ, ст. 222 ГПК РФ, ст. 225.1 АПК РФ, ст. 225.10 АПК РФ, ст. 225.16 АПК РФ, ст. 23 ФЗ, ст. 250 ГК РФ, ст. 26 ГК РФ, ст. 28 ГК РФ, ст. 29 ГК РФ, ст. 29 ФЗ, ст. 290 ГК РФ, ст. 292 ГК РФ, ст. 3 ГК РФ, ст. 3 ФЗ, ст. 30 ГК РФ, ст. 301 ГК РФ, ст. 32 ФЗ, ст. 334 ГК РФ, ст. 342 ГК РФ, ст. 342.1 ГК РФ, ст. 35 СК РФ, ст. 352 ГК РФ, ст. 36 ЖК РФ, ст. 383 ГК РФ, ст. 385 ГК РФ, ст. 391 ГК РФ, ст. 393 ГК РФ, ст. 398 ГК РФ, ст. 401 ГК РФ, ст. 421 ГК РФ, ст. 426 ГК РФ, ст. 433 ГК РФ, ст. 439 ГК РФ, ст. 45 ФЗ, ст. 450.1 ГК РФ, ст. 461 ГК РФ, ст. 48 ФЗ, ст. 49 ГК РФ, ст. 5 ГК РФ, ст. 50 ГК РФ, ст. 51 ГК РФ, ст. 53 ГК РФ, ст. 53 ГПК РФ, ст. 53.1 ГК РФ, ст. 54 ГК РФ, ст. 55 ГПК РФ, ст. 551 ГК РФ, ст. 56 ГПК РФ, ст. 572 ГК РФ, ст. 58 ГК РФ, ст. 596 ГК РФ, ст. 6 ГК РФ, ст. 60 ГК РФ, ст. 61 АПК РФ, ст. 61 ГК РФ, ст. 65 АПК РФ, ст. 65.1 ГК РФ, ст. 65.2 ГК РФ, ст. 65.3 ГК РФ, ст. 67 ГК РФ, ст. 67.1 ГК РФ, ст. 67.2 ГК РФ, ст. 75 ГК РФ, ст. 790 ГК РФ, ст. 8.1 ГК РФ, ст. 820 ГК РФ, ст. 836 ГК РФ, ст. 84 ФЗ, ст. 928 ГК РФ, ст. 93 ГК РФ</w:t>
      </w:r>
    </w:p>
    <w:p>
      <w:pPr>
        <w:spacing w:after="40"/>
      </w:pPr>
      <w:r>
        <w:rPr>
          <w:rFonts w:ascii="Inter" w:hAnsi="Inter"/>
          <w:b/>
          <w:color w:val="8B8171"/>
          <w:sz w:val="18"/>
        </w:rPr>
        <w:t xml:space="preserve">Теги: </w:t>
      </w:r>
      <w:r>
        <w:rPr>
          <w:rFonts w:ascii="Inter" w:hAnsi="Inter"/>
          <w:color w:val="655D50"/>
          <w:sz w:val="18"/>
        </w:rPr>
        <w:t>Гражданское право, Добросовестность, Обычай, Государственная регистрация прав, Статья 1 ГК РФ, Статья 5 ГК РФ, Статья 8.1 ГК РФ, Статья 10 ГК РФ</w:t>
      </w:r>
    </w:p>
    <w:p>
      <w:pPr>
        <w:spacing w:before="280" w:after="80"/>
      </w:pPr>
      <w:r>
        <w:rPr>
          <w:rFonts w:ascii="Cormorant Garamond" w:hAnsi="Cormorant Garamond"/>
          <w:b/>
          <w:color w:val="B63A26"/>
          <w:sz w:val="28"/>
        </w:rPr>
        <w:t>Пункт 1</w:t>
      </w:r>
    </w:p>
    <w:p>
      <w:pPr>
        <w:widowControl/>
        <w:spacing w:after="280" w:line="312" w:lineRule="auto"/>
        <w:ind w:firstLine="567"/>
        <w:jc w:val="both"/>
      </w:pPr>
      <w:r>
        <w:rPr>
          <w:rFonts w:ascii="Inter" w:hAnsi="Inter"/>
          <w:color w:val="655D50"/>
          <w:sz w:val="24"/>
        </w:rPr>
        <w:t>Положения Гражданского кодекса Российской Федерации (далее - ГК РФ), законов и иных актов, содержащих нормы гражданского права (статья 3 ГК РФ), подлежат истолкованию в системной взаимосвязи с основными началами гражданского законодательства, закрепленными в статье 1 ГК РФ.</w:t>
      </w:r>
    </w:p>
    <w:p>
      <w:pPr>
        <w:widowControl/>
        <w:spacing w:after="280" w:line="312" w:lineRule="auto"/>
        <w:ind w:firstLine="567"/>
        <w:jc w:val="both"/>
      </w:pPr>
      <w:r>
        <w:rPr>
          <w:rFonts w:ascii="Inter" w:hAnsi="Inter"/>
          <w:color w:val="655D50"/>
          <w:sz w:val="24"/>
        </w:rPr>
        <w:t>Согласно пункту 3 статьи 1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В силу пункта 4 статьи 1 ГК РФ никто не вправе извлекать преимущество из своего незаконного или недобросовестного поведения.</w:t>
      </w:r>
    </w:p>
    <w:p>
      <w:pPr>
        <w:widowControl/>
        <w:spacing w:after="280" w:line="312" w:lineRule="auto"/>
        <w:ind w:firstLine="567"/>
        <w:jc w:val="both"/>
      </w:pPr>
      <w:r>
        <w:rPr>
          <w:rFonts w:ascii="Inter" w:hAnsi="Inter"/>
          <w:color w:val="655D50"/>
          <w:sz w:val="24"/>
        </w:rPr>
        <w:t>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По общему правилу пункта 5 статьи 10 ГК РФ добросовестность участников гражданских правоотношений и разумность их действий предполагаются, пока не доказано иное.</w:t>
      </w:r>
    </w:p>
    <w:p>
      <w:pPr>
        <w:widowControl/>
        <w:spacing w:after="280" w:line="312" w:lineRule="auto"/>
        <w:ind w:firstLine="567"/>
        <w:jc w:val="both"/>
      </w:pPr>
      <w:r>
        <w:rPr>
          <w:rFonts w:ascii="Inter" w:hAnsi="Inter"/>
          <w:color w:val="655D50"/>
          <w:sz w:val="24"/>
        </w:rPr>
        <w:t>Поведение одной из сторон может быть признано недобросовестным не только при наличии обоснованного заявления другой стороны, но и по инициативе суда, если усматривается очевидное отклонение действий участника гражданского оборота от добросовестного поведения. В этом случае суд при рассмотрении дела выносит на обсуждение обстоятельства, явно свидетельствующие о таком недобросовестном поведении, даже если стороны на них не ссылались (статья 56 Гражданского процессуального кодекса Российской Федерации (далее - ГПК РФ), статья 65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Если будет установлено недобросовестное поведение одной из сторон, суд в зависимости от обстоятельств дела и с учетом характера и последствий такого поведения отказывает в защите принадлежащего ей права полностью или частично, а также применяет иные меры, обеспечивающие защиту интересов добросовестной стороны или третьих лиц от недобросовестного поведения другой стороны (пункт 2 статьи 10 ГК РФ), например, признает условие, которому недобросовестно воспрепятствовала или содействовала эта сторона соответственно наступившим или ненаступившим (пункт 3 статьи 157 ГК РФ); указывает, что заявление такой стороны о недействительности сделки не имеет правового значения (пункт 5 статьи 166 ГК РФ).</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23.06.2015 № 25</dc:title>
  <dc:subject/>
  <dc:creator>CasusLegal</dc:creator>
  <cp:keywords/>
  <dc:description/>
  <cp:lastModifiedBy>CasusLegal</cp:lastModifiedBy>
  <cp:revision>1</cp:revision>
  <dcterms:created xsi:type="dcterms:W3CDTF">2026-08-16T12:13:28Z</dcterms:created>
  <dcterms:modified xsi:type="dcterms:W3CDTF">2026-08-16T12:13:28Z</dcterms:modified>
  <cp:category/>
</cp:coreProperties>
</file>