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22.11.2016 № 54</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22.11.2016</w:t>
      </w:r>
    </w:p>
    <w:p>
      <w:pPr>
        <w:spacing w:after="40"/>
      </w:pPr>
      <w:r>
        <w:rPr>
          <w:rFonts w:ascii="Inter" w:hAnsi="Inter"/>
          <w:b/>
          <w:color w:val="8B8171"/>
          <w:sz w:val="18"/>
        </w:rPr>
        <w:t xml:space="preserve">Номер дела: </w:t>
      </w:r>
      <w:r>
        <w:rPr>
          <w:rFonts w:ascii="Inter" w:hAnsi="Inter"/>
          <w:color w:val="655D50"/>
          <w:sz w:val="18"/>
        </w:rPr>
        <w:t>54</w:t>
      </w:r>
    </w:p>
    <w:p>
      <w:pPr>
        <w:spacing w:after="40"/>
      </w:pPr>
      <w:r>
        <w:rPr>
          <w:rFonts w:ascii="Inter" w:hAnsi="Inter"/>
          <w:b/>
          <w:color w:val="8B8171"/>
          <w:sz w:val="18"/>
        </w:rPr>
        <w:t xml:space="preserve">Применённые нормы: </w:t>
      </w:r>
      <w:r>
        <w:rPr>
          <w:rFonts w:ascii="Inter" w:hAnsi="Inter"/>
          <w:color w:val="655D50"/>
          <w:sz w:val="18"/>
        </w:rPr>
        <w:t>ст. 1 ГК РФ, ст. 10 ГК РФ, ст. 1010 ГК РФ, ст. 1024 ГК РФ, ст. 1102 ГК РФ, ст. 157 ГК РФ, ст. 165.1 ГК РФ, ст. 168 ГК РФ, ст. 180 ГК РФ, ст. 182 ГК РФ, ст. 199 ГК РФ, ст. 2 ФЗ, ст. 307 ГК РФ, ст. 308 ГК РФ, ст. 308.1 ГК РФ, ст. 308.2 ГК РФ, ст. 309.1 ГК РФ, ст. 309.2 ГК РФ, ст. 310 ГК РФ, ст. 311 ГК РФ, ст. 312 ГК РФ, ст. 313 ГК РФ, ст. 314 ГК РФ, ст. 316 ГК РФ, ст. 317 ГК РФ, ст. 317.1 ГК РФ, ст. 318 ГК РФ, ст. 319 ГК РФ, ст. 319.1 ГК РФ, ст. 320 ГК РФ, ст. 320.1 ГК РФ, ст. 323 ГК РФ, ст. 324 ГК РФ, ст. 325 ГК РФ, ст. 327 ГК РФ, ст. 327.1 ГК РФ, ст. 328 ГК РФ, ст. 364 ГК РФ, ст. 382 ГК РФ, ст. 403 ГК РФ, ст. 406 ГК РФ, ст. 416 ГК РФ, ст. 421 ГК РФ, ст. 422 ГК РФ, ст. 426 ГК РФ, ст. 428 ГК РФ, ст. 431.2 ГК РФ, ст. 450.1 ГК РФ, ст. 461 ГК РФ, ст. 53 ФЗ, ст. 610 ГК РФ, ст. 67.2 ГК РФ, ст. 708 ГК РФ, ст. 717 ГК РФ, ст. 723 ГК РФ, ст. 782 ГК РФ, ст. 8 ФЗ, ст. 806 ГК РФ, ст. 809 ГК РФ, ст. 931 ГК РФ</w:t>
      </w:r>
    </w:p>
    <w:p>
      <w:pPr>
        <w:spacing w:after="40"/>
      </w:pPr>
      <w:r>
        <w:rPr>
          <w:rFonts w:ascii="Inter" w:hAnsi="Inter"/>
          <w:b/>
          <w:color w:val="8B8171"/>
          <w:sz w:val="18"/>
        </w:rPr>
        <w:t xml:space="preserve">Теги: </w:t>
      </w:r>
      <w:r>
        <w:rPr>
          <w:rFonts w:ascii="Inter" w:hAnsi="Inter"/>
          <w:color w:val="655D50"/>
          <w:sz w:val="18"/>
        </w:rPr>
        <w:t>Исполнение обязательств, Обязательственное право, Односторонний отказ от исполнения обязательства, Статья 309 ГК РФ, Статья 310 ГК РФ, Статья 313 ГК РФ, Статья 327 ГК РФ, Статья 406 ГК РФ, Гражданское право</w:t>
      </w:r>
    </w:p>
    <w:p>
      <w:pPr>
        <w:spacing w:before="280" w:after="80"/>
      </w:pPr>
      <w:r>
        <w:rPr>
          <w:rFonts w:ascii="Cormorant Garamond" w:hAnsi="Cormorant Garamond"/>
          <w:b/>
          <w:color w:val="B63A26"/>
          <w:sz w:val="28"/>
        </w:rPr>
        <w:t>Пункт 15</w:t>
      </w:r>
    </w:p>
    <w:p>
      <w:pPr>
        <w:widowControl/>
        <w:spacing w:after="280" w:line="312" w:lineRule="auto"/>
        <w:ind w:firstLine="567"/>
        <w:jc w:val="both"/>
      </w:pPr>
      <w:r>
        <w:rPr>
          <w:rFonts w:ascii="Inter" w:hAnsi="Inter"/>
          <w:color w:val="655D50"/>
          <w:sz w:val="24"/>
        </w:rPr>
        <w:t>Предусмотренное диспозитивной нормой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денежной суммы другой стороне обязательства (пункт 3 статьи 310 ГК РФ).</w:t>
      </w:r>
    </w:p>
    <w:p>
      <w:pPr>
        <w:widowControl/>
        <w:spacing w:after="280" w:line="312" w:lineRule="auto"/>
        <w:ind w:firstLine="567"/>
        <w:jc w:val="both"/>
      </w:pPr>
      <w:r>
        <w:rPr>
          <w:rFonts w:ascii="Inter" w:hAnsi="Inter"/>
          <w:color w:val="655D50"/>
          <w:sz w:val="24"/>
        </w:rPr>
        <w:t>Если право на односторонний отказ от исполнения обязательства или на одностороннее изменение условий обязательства установлено императивной нормой, например абзацем вторым пункта 2 статьи 610 ГК РФ, то включение в договор условия о выплате денежной суммы в случае осуществления стороной этого права не допускается (пункт 1 статьи 422 ГК РФ). Такое условие договора является ничтожным, поскольку оно противоречит существу законодательного регулирования соответствующего вида обязательства (пункт 2 статьи 168 и статья 180 ГК РФ).</w:t>
      </w:r>
    </w:p>
    <w:p>
      <w:pPr>
        <w:widowControl/>
        <w:spacing w:after="280" w:line="312" w:lineRule="auto"/>
        <w:ind w:firstLine="567"/>
        <w:jc w:val="both"/>
      </w:pPr>
      <w:r>
        <w:rPr>
          <w:rFonts w:ascii="Inter" w:hAnsi="Inter"/>
          <w:color w:val="655D50"/>
          <w:sz w:val="24"/>
        </w:rPr>
        <w:t>Равным образом, по смыслу пункта 3 статьи 310 ГК РФ не допускается взимание платы за односторонний отказ от исполнения обязательства или одностороннее изменение его условий, вызванные неисполнением или ненадлежащим исполнением обязательства другой его стороной.</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22.11.2016 № 54</dc:title>
  <dc:subject/>
  <dc:creator>CasusLegal</dc:creator>
  <cp:keywords/>
  <dc:description/>
  <cp:lastModifiedBy>CasusLegal</cp:lastModifiedBy>
  <cp:revision>1</cp:revision>
  <dcterms:created xsi:type="dcterms:W3CDTF">2026-08-16T12:11:50Z</dcterms:created>
  <dcterms:modified xsi:type="dcterms:W3CDTF">2026-08-16T12:11:50Z</dcterms:modified>
  <cp:category/>
</cp:coreProperties>
</file>