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25.12.2018 № 49</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25.12.2018</w:t>
      </w:r>
    </w:p>
    <w:p>
      <w:pPr>
        <w:spacing w:after="40"/>
      </w:pPr>
      <w:r>
        <w:rPr>
          <w:rFonts w:ascii="Inter" w:hAnsi="Inter"/>
          <w:b/>
          <w:color w:val="8B8171"/>
          <w:sz w:val="18"/>
        </w:rPr>
        <w:t xml:space="preserve">Номер дела: </w:t>
      </w:r>
      <w:r>
        <w:rPr>
          <w:rFonts w:ascii="Inter" w:hAnsi="Inter"/>
          <w:color w:val="655D50"/>
          <w:sz w:val="18"/>
        </w:rPr>
        <w:t>49</w:t>
      </w:r>
    </w:p>
    <w:p>
      <w:pPr>
        <w:spacing w:after="40"/>
      </w:pPr>
      <w:r>
        <w:rPr>
          <w:rFonts w:ascii="Inter" w:hAnsi="Inter"/>
          <w:b/>
          <w:color w:val="8B8171"/>
          <w:sz w:val="18"/>
        </w:rPr>
        <w:t xml:space="preserve">Применённые нормы: </w:t>
      </w:r>
      <w:r>
        <w:rPr>
          <w:rFonts w:ascii="Inter" w:hAnsi="Inter"/>
          <w:color w:val="655D50"/>
          <w:sz w:val="18"/>
        </w:rPr>
        <w:t>ст. 1 ГК РФ, ст. 1 ФЗ, ст. 10 ГК РФ, ст. 1017 ГК РФ, ст. 13 ФЗ, ст. 162 ГК РФ, ст. 165 ГК РФ, ст. 165.1 ГК РФ, ст. 190 ГК РФ, ст. 307 ГК РФ, ст. 307.1 ГК РФ, ст. 328 ГК РФ, ст. 380 ГК РФ, ст. 394 ГК РФ, ст. 401 ГК РФ, ст. 405 ГК РФ, ст. 420 ГК РФ, ст. 421 ГК РФ, ст. 422 ГК РФ, ст. 424 ГК РФ, ст. 426 ГК РФ, ст. 427 ГК РФ, ст. 429 ГК РФ, ст. 429.1 ГК РФ, ст. 429.2 ГК РФ, ст. 429.4 ГК РФ, ст. 431 ГК РФ, ст. 431.2 ГК РФ, ст. 432 ГК РФ, ст. 433 ГК РФ, ст. 434 ГК РФ, ст. 434.1 ГК РФ, ст. 435 ГК РФ, ст. 436 ГК РФ, ст. 437 ГК РФ, ст. 438 ГК РФ, ст. 44 ФЗ, ст. 442 ГК РФ, ст. 443 ГК РФ, ст. 445 ГК РФ, ст. 446 ГК РФ, ст. 450.1 ГК РФ, ст. 455 ГК РФ, ст. 56 ГПК РФ, ст. 6 ГК РФ, ст. 609 ГК РФ, ст. 617 ГК РФ, ст. 65 АПК РФ, ст. 730 ГК РФ, ст. 819 ГК РФ, ст. 896 ГК РФ, ст. 927 ГК РФ</w:t>
      </w:r>
    </w:p>
    <w:p>
      <w:pPr>
        <w:spacing w:after="40"/>
      </w:pPr>
      <w:r>
        <w:rPr>
          <w:rFonts w:ascii="Inter" w:hAnsi="Inter"/>
          <w:b/>
          <w:color w:val="8B8171"/>
          <w:sz w:val="18"/>
        </w:rPr>
        <w:t xml:space="preserve">Теги: </w:t>
      </w:r>
      <w:r>
        <w:rPr>
          <w:rFonts w:ascii="Inter" w:hAnsi="Inter"/>
          <w:color w:val="655D50"/>
          <w:sz w:val="18"/>
        </w:rPr>
        <w:t>Заключение договора, Толкование договора, Существенные условия договора, Оферта, Акцепт, Преддоговорная ответственность, Статья 432 ГК РФ, Статья 433 ГК РФ, Статья 434.1 ГК РФ, Гражданское право</w:t>
      </w:r>
    </w:p>
    <w:p>
      <w:pPr>
        <w:spacing w:before="280" w:after="80"/>
      </w:pPr>
      <w:r>
        <w:rPr>
          <w:rFonts w:ascii="Cormorant Garamond" w:hAnsi="Cormorant Garamond"/>
          <w:b/>
          <w:color w:val="B63A26"/>
          <w:sz w:val="28"/>
        </w:rPr>
        <w:t>Пункт 27</w:t>
      </w:r>
    </w:p>
    <w:p>
      <w:pPr>
        <w:widowControl/>
        <w:spacing w:after="280" w:line="312" w:lineRule="auto"/>
        <w:ind w:firstLine="567"/>
        <w:jc w:val="both"/>
      </w:pPr>
      <w:r>
        <w:rPr>
          <w:rFonts w:ascii="Inter" w:hAnsi="Inter"/>
          <w:color w:val="655D50"/>
          <w:sz w:val="24"/>
        </w:rPr>
        <w:t>Основной договор должен быть заключен в срок, установленный в предварительном договоре, а если такой срок не определен, - в течение года с момента заключения предварительного договора (пункт 4 статьи 429 ГК РФ). Если в пределах такого срока сторонами (стороной) совершались действия, направленные на заключение основного договора, однако к окончанию срока обязательство по заключению основного договора не исполнено, то в течение шести месяцев с момента истечения установленного срока спор о понуждении к заключению основного договора может быть передан на рассмотрение суда (пункт 5 статьи 429 ГК РФ).</w:t>
      </w:r>
    </w:p>
    <w:p>
      <w:pPr>
        <w:widowControl/>
        <w:spacing w:after="280" w:line="312" w:lineRule="auto"/>
        <w:ind w:firstLine="567"/>
        <w:jc w:val="both"/>
      </w:pPr>
      <w:r>
        <w:rPr>
          <w:rFonts w:ascii="Inter" w:hAnsi="Inter"/>
          <w:color w:val="655D50"/>
          <w:sz w:val="24"/>
        </w:rPr>
        <w:t>Ведение сторонами переговоров, урегулирование разногласий в целях заключения основного договора не могут являться основаниями для изменения момента начала течения указанного шестимесячного срока.</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25.12.2018 № 49</dc:title>
  <dc:subject/>
  <dc:creator>CasusLegal</dc:creator>
  <cp:keywords/>
  <dc:description/>
  <cp:lastModifiedBy>CasusLegal</cp:lastModifiedBy>
  <cp:revision>1</cp:revision>
  <dcterms:created xsi:type="dcterms:W3CDTF">2026-08-16T12:13:54Z</dcterms:created>
  <dcterms:modified xsi:type="dcterms:W3CDTF">2026-08-16T12:13:54Z</dcterms:modified>
  <cp:category/>
</cp:coreProperties>
</file>