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Постановление Пленума Верховного Суда РФ от 25.12.2018 № 49</w:t>
      </w:r>
    </w:p>
    <w:p>
      <w:pPr>
        <w:spacing w:after="40"/>
      </w:pPr>
      <w:r>
        <w:rPr>
          <w:rFonts w:ascii="Inter" w:hAnsi="Inter"/>
          <w:b/>
          <w:color w:val="8B8171"/>
          <w:sz w:val="18"/>
        </w:rPr>
        <w:t xml:space="preserve">Суд: </w:t>
      </w:r>
      <w:r>
        <w:rPr>
          <w:rFonts w:ascii="Inter" w:hAnsi="Inter"/>
          <w:color w:val="655D50"/>
          <w:sz w:val="18"/>
        </w:rPr>
        <w:t>Верховный Суд РФ (Пленум)</w:t>
      </w:r>
    </w:p>
    <w:p>
      <w:pPr>
        <w:spacing w:after="40"/>
      </w:pPr>
      <w:r>
        <w:rPr>
          <w:rFonts w:ascii="Inter" w:hAnsi="Inter"/>
          <w:b/>
          <w:color w:val="8B8171"/>
          <w:sz w:val="18"/>
        </w:rPr>
        <w:t xml:space="preserve">Дата: </w:t>
      </w:r>
      <w:r>
        <w:rPr>
          <w:rFonts w:ascii="Inter" w:hAnsi="Inter"/>
          <w:color w:val="655D50"/>
          <w:sz w:val="18"/>
        </w:rPr>
        <w:t>25.12.2018</w:t>
      </w:r>
    </w:p>
    <w:p>
      <w:pPr>
        <w:spacing w:after="40"/>
      </w:pPr>
      <w:r>
        <w:rPr>
          <w:rFonts w:ascii="Inter" w:hAnsi="Inter"/>
          <w:b/>
          <w:color w:val="8B8171"/>
          <w:sz w:val="18"/>
        </w:rPr>
        <w:t xml:space="preserve">Номер дела: </w:t>
      </w:r>
      <w:r>
        <w:rPr>
          <w:rFonts w:ascii="Inter" w:hAnsi="Inter"/>
          <w:color w:val="655D50"/>
          <w:sz w:val="18"/>
        </w:rPr>
        <w:t>49</w:t>
      </w:r>
    </w:p>
    <w:p>
      <w:pPr>
        <w:spacing w:after="40"/>
      </w:pPr>
      <w:r>
        <w:rPr>
          <w:rFonts w:ascii="Inter" w:hAnsi="Inter"/>
          <w:b/>
          <w:color w:val="8B8171"/>
          <w:sz w:val="18"/>
        </w:rPr>
        <w:t xml:space="preserve">Применённые нормы: </w:t>
      </w:r>
      <w:r>
        <w:rPr>
          <w:rFonts w:ascii="Inter" w:hAnsi="Inter"/>
          <w:color w:val="655D50"/>
          <w:sz w:val="18"/>
        </w:rPr>
        <w:t>ст. 1 ГК РФ, ст. 1 ФЗ, ст. 10 ГК РФ, ст. 1017 ГК РФ, ст. 13 ФЗ, ст. 162 ГК РФ, ст. 165 ГК РФ, ст. 165.1 ГК РФ, ст. 190 ГК РФ, ст. 307 ГК РФ, ст. 307.1 ГК РФ, ст. 328 ГК РФ, ст. 380 ГК РФ, ст. 394 ГК РФ, ст. 401 ГК РФ, ст. 405 ГК РФ, ст. 420 ГК РФ, ст. 421 ГК РФ, ст. 422 ГК РФ, ст. 424 ГК РФ, ст. 426 ГК РФ, ст. 427 ГК РФ, ст. 429 ГК РФ, ст. 429.1 ГК РФ, ст. 429.2 ГК РФ, ст. 429.4 ГК РФ, ст. 431 ГК РФ, ст. 431.2 ГК РФ, ст. 432 ГК РФ, ст. 433 ГК РФ, ст. 434 ГК РФ, ст. 434.1 ГК РФ, ст. 435 ГК РФ, ст. 436 ГК РФ, ст. 437 ГК РФ, ст. 438 ГК РФ, ст. 44 ФЗ, ст. 442 ГК РФ, ст. 443 ГК РФ, ст. 445 ГК РФ, ст. 446 ГК РФ, ст. 450.1 ГК РФ, ст. 455 ГК РФ, ст. 56 ГПК РФ, ст. 6 ГК РФ, ст. 609 ГК РФ, ст. 617 ГК РФ, ст. 65 АПК РФ, ст. 730 ГК РФ, ст. 819 ГК РФ, ст. 896 ГК РФ, ст. 927 ГК РФ</w:t>
      </w:r>
    </w:p>
    <w:p>
      <w:pPr>
        <w:spacing w:after="40"/>
      </w:pPr>
      <w:r>
        <w:rPr>
          <w:rFonts w:ascii="Inter" w:hAnsi="Inter"/>
          <w:b/>
          <w:color w:val="8B8171"/>
          <w:sz w:val="18"/>
        </w:rPr>
        <w:t xml:space="preserve">Теги: </w:t>
      </w:r>
      <w:r>
        <w:rPr>
          <w:rFonts w:ascii="Inter" w:hAnsi="Inter"/>
          <w:color w:val="655D50"/>
          <w:sz w:val="18"/>
        </w:rPr>
        <w:t>Заключение договора, Толкование договора, Существенные условия договора, Оферта, Акцепт, Преддоговорная ответственность, Статья 432 ГК РФ, Статья 433 ГК РФ, Статья 434.1 ГК РФ, Гражданское право</w:t>
      </w:r>
    </w:p>
    <w:p>
      <w:pPr>
        <w:spacing w:before="280" w:after="80"/>
      </w:pPr>
      <w:r>
        <w:rPr>
          <w:rFonts w:ascii="Cormorant Garamond" w:hAnsi="Cormorant Garamond"/>
          <w:b/>
          <w:color w:val="B63A26"/>
          <w:sz w:val="28"/>
        </w:rPr>
        <w:t>Пункт 26</w:t>
      </w:r>
    </w:p>
    <w:p>
      <w:pPr>
        <w:widowControl/>
        <w:spacing w:after="280" w:line="312" w:lineRule="auto"/>
        <w:ind w:firstLine="567"/>
        <w:jc w:val="both"/>
      </w:pPr>
      <w:r>
        <w:rPr>
          <w:rFonts w:ascii="Inter" w:hAnsi="Inter"/>
          <w:color w:val="655D50"/>
          <w:sz w:val="24"/>
        </w:rPr>
        <w:t>Исполнение предварительного договора может быть обеспечено задатком (пункт 4 статьи 380 ГК РФ), неустойкой за уклонение от заключения основного договора (статьи 421, 329, 330 ГК РФ).</w:t>
      </w:r>
    </w:p>
    <w:p>
      <w:pPr>
        <w:widowControl/>
        <w:spacing w:after="280" w:line="312" w:lineRule="auto"/>
        <w:ind w:firstLine="567"/>
        <w:jc w:val="both"/>
      </w:pPr>
      <w:r>
        <w:rPr>
          <w:rFonts w:ascii="Inter" w:hAnsi="Inter"/>
          <w:color w:val="655D50"/>
          <w:sz w:val="24"/>
        </w:rPr>
        <w:t>Задаток, выданный в обеспечение обязательств по предварительному договору лицом, обязанным совершить платеж (платежи) по основному договору, зачисляется в счет цены по заключенному основному договору (пункт 1 статьи 380 ГК РФ). Если задаток выдан по предварительному договору лицом, которое не обязано к платежу по основному договору, заключение последнего влечет обязанность вернуть задаток, если иное не предусмотрено законом или договором или не следует из существа обязательства или сложившихся взаимоотношений сторон.</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Пленума Верховного Суда РФ от 25.12.2018 № 49</dc:title>
  <dc:subject/>
  <dc:creator>CasusLegal</dc:creator>
  <cp:keywords/>
  <dc:description/>
  <cp:lastModifiedBy>CasusLegal</cp:lastModifiedBy>
  <cp:revision>1</cp:revision>
  <dcterms:created xsi:type="dcterms:W3CDTF">2026-08-16T12:13:56Z</dcterms:created>
  <dcterms:modified xsi:type="dcterms:W3CDTF">2026-08-16T12:13:56Z</dcterms:modified>
  <cp:category/>
</cp:coreProperties>
</file>