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Постановление Пленума Верховного Суда РФ от 25.12.2018 № 49</w:t>
      </w:r>
    </w:p>
    <w:p>
      <w:pPr>
        <w:spacing w:after="40"/>
      </w:pPr>
      <w:r>
        <w:rPr>
          <w:rFonts w:ascii="Inter" w:hAnsi="Inter"/>
          <w:b/>
          <w:color w:val="8B8171"/>
          <w:sz w:val="18"/>
        </w:rPr>
        <w:t xml:space="preserve">Суд: </w:t>
      </w:r>
      <w:r>
        <w:rPr>
          <w:rFonts w:ascii="Inter" w:hAnsi="Inter"/>
          <w:color w:val="655D50"/>
          <w:sz w:val="18"/>
        </w:rPr>
        <w:t>Верховный Суд РФ (Пленум)</w:t>
      </w:r>
    </w:p>
    <w:p>
      <w:pPr>
        <w:spacing w:after="40"/>
      </w:pPr>
      <w:r>
        <w:rPr>
          <w:rFonts w:ascii="Inter" w:hAnsi="Inter"/>
          <w:b/>
          <w:color w:val="8B8171"/>
          <w:sz w:val="18"/>
        </w:rPr>
        <w:t xml:space="preserve">Дата: </w:t>
      </w:r>
      <w:r>
        <w:rPr>
          <w:rFonts w:ascii="Inter" w:hAnsi="Inter"/>
          <w:color w:val="655D50"/>
          <w:sz w:val="18"/>
        </w:rPr>
        <w:t>25.12.2018</w:t>
      </w:r>
    </w:p>
    <w:p>
      <w:pPr>
        <w:spacing w:after="40"/>
      </w:pPr>
      <w:r>
        <w:rPr>
          <w:rFonts w:ascii="Inter" w:hAnsi="Inter"/>
          <w:b/>
          <w:color w:val="8B8171"/>
          <w:sz w:val="18"/>
        </w:rPr>
        <w:t xml:space="preserve">Номер дела: </w:t>
      </w:r>
      <w:r>
        <w:rPr>
          <w:rFonts w:ascii="Inter" w:hAnsi="Inter"/>
          <w:color w:val="655D50"/>
          <w:sz w:val="18"/>
        </w:rPr>
        <w:t>49</w:t>
      </w:r>
    </w:p>
    <w:p>
      <w:pPr>
        <w:spacing w:after="40"/>
      </w:pPr>
      <w:r>
        <w:rPr>
          <w:rFonts w:ascii="Inter" w:hAnsi="Inter"/>
          <w:b/>
          <w:color w:val="8B8171"/>
          <w:sz w:val="18"/>
        </w:rPr>
        <w:t xml:space="preserve">Применённые нормы: </w:t>
      </w:r>
      <w:r>
        <w:rPr>
          <w:rFonts w:ascii="Inter" w:hAnsi="Inter"/>
          <w:color w:val="655D50"/>
          <w:sz w:val="18"/>
        </w:rPr>
        <w:t>ст. 1 ГК РФ, ст. 1 ФЗ, ст. 10 ГК РФ, ст. 1017 ГК РФ, ст. 13 ФЗ, ст. 162 ГК РФ, ст. 165 ГК РФ, ст. 165.1 ГК РФ, ст. 190 ГК РФ, ст. 307 ГК РФ, ст. 307.1 ГК РФ, ст. 328 ГК РФ, ст. 380 ГК РФ, ст. 394 ГК РФ, ст. 401 ГК РФ, ст. 405 ГК РФ, ст. 420 ГК РФ, ст. 421 ГК РФ, ст. 422 ГК РФ, ст. 424 ГК РФ, ст. 426 ГК РФ, ст. 427 ГК РФ, ст. 429 ГК РФ, ст. 429.1 ГК РФ, ст. 429.2 ГК РФ, ст. 429.4 ГК РФ, ст. 431 ГК РФ, ст. 431.2 ГК РФ, ст. 432 ГК РФ, ст. 433 ГК РФ, ст. 434 ГК РФ, ст. 434.1 ГК РФ, ст. 435 ГК РФ, ст. 436 ГК РФ, ст. 437 ГК РФ, ст. 438 ГК РФ, ст. 44 ФЗ, ст. 442 ГК РФ, ст. 443 ГК РФ, ст. 445 ГК РФ, ст. 446 ГК РФ, ст. 450.1 ГК РФ, ст. 455 ГК РФ, ст. 56 ГПК РФ, ст. 6 ГК РФ, ст. 609 ГК РФ, ст. 617 ГК РФ, ст. 65 АПК РФ, ст. 730 ГК РФ, ст. 819 ГК РФ, ст. 896 ГК РФ, ст. 927 ГК РФ</w:t>
      </w:r>
    </w:p>
    <w:p>
      <w:pPr>
        <w:spacing w:after="40"/>
      </w:pPr>
      <w:r>
        <w:rPr>
          <w:rFonts w:ascii="Inter" w:hAnsi="Inter"/>
          <w:b/>
          <w:color w:val="8B8171"/>
          <w:sz w:val="18"/>
        </w:rPr>
        <w:t xml:space="preserve">Теги: </w:t>
      </w:r>
      <w:r>
        <w:rPr>
          <w:rFonts w:ascii="Inter" w:hAnsi="Inter"/>
          <w:color w:val="655D50"/>
          <w:sz w:val="18"/>
        </w:rPr>
        <w:t>Заключение договора, Толкование договора, Существенные условия договора, Оферта, Акцепт, Преддоговорная ответственность, Статья 432 ГК РФ, Статья 433 ГК РФ, Статья 434.1 ГК РФ, Гражданское право</w:t>
      </w:r>
    </w:p>
    <w:p>
      <w:pPr>
        <w:spacing w:before="280" w:after="80"/>
      </w:pPr>
      <w:r>
        <w:rPr>
          <w:rFonts w:ascii="Cormorant Garamond" w:hAnsi="Cormorant Garamond"/>
          <w:b/>
          <w:color w:val="B63A26"/>
          <w:sz w:val="28"/>
        </w:rPr>
        <w:t>Пункт 23</w:t>
      </w:r>
    </w:p>
    <w:p>
      <w:pPr>
        <w:widowControl/>
        <w:spacing w:after="280" w:line="312" w:lineRule="auto"/>
        <w:ind w:firstLine="567"/>
        <w:jc w:val="both"/>
      </w:pPr>
      <w:r>
        <w:rPr>
          <w:rFonts w:ascii="Inter" w:hAnsi="Inter"/>
          <w:color w:val="655D50"/>
          <w:sz w:val="24"/>
        </w:rPr>
        <w:t>В силу положений пункта 1 статьи 429 ГК РФ по предварительному договору стороны или одна из них обязуются заключить в будущем договор о передаче имущества, выполнении работ, об оказании услуг и т.п. (основной договор) на условиях, предусмотренных предварительным договором.</w:t>
      </w:r>
    </w:p>
    <w:p>
      <w:pPr>
        <w:widowControl/>
        <w:spacing w:after="280" w:line="312" w:lineRule="auto"/>
        <w:ind w:firstLine="567"/>
        <w:jc w:val="both"/>
      </w:pPr>
      <w:r>
        <w:rPr>
          <w:rFonts w:ascii="Inter" w:hAnsi="Inter"/>
          <w:color w:val="655D50"/>
          <w:sz w:val="24"/>
        </w:rPr>
        <w:t>Отсутствие на момент заключения предварительного или основного договора возможности передать имущество, выполнить работу, оказать услугу, являющихся предметом будущего договора, не может служить препятствием к заключению предварительного договора. Например, не требуется, чтобы товар, являющийся предметом будущего договора, имелся в наличии у продавца в момент заключения предварительного или основного договора; договор также может быть заключен в отношении товара, который будет создан или приобретен продавцом в будущем. Иное может быть установлено законом или вытекать из характера товара (пункт 2 статьи 455 ГК РФ).</w:t>
      </w:r>
    </w:p>
    <w:p>
      <w:pPr>
        <w:widowControl/>
        <w:spacing w:after="280" w:line="312" w:lineRule="auto"/>
        <w:ind w:firstLine="567"/>
        <w:jc w:val="both"/>
      </w:pPr>
      <w:r>
        <w:rPr>
          <w:rFonts w:ascii="Inter" w:hAnsi="Inter"/>
          <w:color w:val="655D50"/>
          <w:sz w:val="24"/>
        </w:rPr>
        <w:t>Если сторонами заключен договор, поименованный ими как предварительный, в соответствии с которым они обязуются, например, заключить в будущем на предусмотренных им условиях основной договор о продаже имущества, которое будет создано или приобретено в дальнейшем, но при этом предварительный договор устанавливает обязанность приобретателя имущества до заключения основного договора уплатить цену имущества или существенную ее часть, такой договор следует квалифицировать как договор купли-продажи с условием о предварительной оплате. Правила статьи 429 ГК РФ к такому договору не применяются.</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Пленума Верховного Суда РФ от 25.12.2018 № 49</dc:title>
  <dc:subject/>
  <dc:creator>CasusLegal</dc:creator>
  <cp:keywords/>
  <dc:description/>
  <cp:lastModifiedBy>CasusLegal</cp:lastModifiedBy>
  <cp:revision>1</cp:revision>
  <dcterms:created xsi:type="dcterms:W3CDTF">2026-08-16T12:13:56Z</dcterms:created>
  <dcterms:modified xsi:type="dcterms:W3CDTF">2026-08-16T12:13:56Z</dcterms:modified>
  <cp:category/>
</cp:coreProperties>
</file>