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06.02.2025 № 310-ЭС24-20342 по делу № А14-22953/2022</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06.02.2025</w:t>
      </w:r>
    </w:p>
    <w:p>
      <w:pPr>
        <w:spacing w:after="40"/>
      </w:pPr>
      <w:r>
        <w:rPr>
          <w:rFonts w:ascii="Inter" w:hAnsi="Inter"/>
          <w:b/>
          <w:color w:val="8B8171"/>
          <w:sz w:val="18"/>
        </w:rPr>
        <w:t xml:space="preserve">Номер дела: </w:t>
      </w:r>
      <w:r>
        <w:rPr>
          <w:rFonts w:ascii="Inter" w:hAnsi="Inter"/>
          <w:color w:val="655D50"/>
          <w:sz w:val="18"/>
        </w:rPr>
        <w:t>310-ЭС24-20342</w:t>
      </w:r>
    </w:p>
    <w:p>
      <w:pPr>
        <w:spacing w:after="40"/>
      </w:pPr>
      <w:r>
        <w:rPr>
          <w:rFonts w:ascii="Inter" w:hAnsi="Inter"/>
          <w:b/>
          <w:color w:val="8B8171"/>
          <w:sz w:val="18"/>
        </w:rPr>
        <w:t xml:space="preserve">Применённые нормы: </w:t>
      </w:r>
      <w:r>
        <w:rPr>
          <w:rFonts w:ascii="Inter" w:hAnsi="Inter"/>
          <w:color w:val="655D50"/>
          <w:sz w:val="18"/>
        </w:rPr>
        <w:t>ст. 1235 ГК РФ, ст. 291.11 АПК РФ, ст. 432 ГК РФ, ст. 8 АПК РФ</w:t>
      </w:r>
    </w:p>
    <w:p>
      <w:pPr>
        <w:spacing w:after="40"/>
      </w:pPr>
      <w:r>
        <w:rPr>
          <w:rFonts w:ascii="Inter" w:hAnsi="Inter"/>
          <w:b/>
          <w:color w:val="8B8171"/>
          <w:sz w:val="18"/>
        </w:rPr>
        <w:t xml:space="preserve">Теги: </w:t>
      </w:r>
      <w:r>
        <w:rPr>
          <w:rFonts w:ascii="Inter" w:hAnsi="Inter"/>
          <w:color w:val="655D50"/>
          <w:sz w:val="18"/>
        </w:rPr>
        <w:t>Лицензионный договор, Роялти, Эстоппель, Статья 1235 ГК РФ, Статья 450 ГК РФ, Статья 452 ГК РФ, Изменение договора, Исполнение обязательств</w:t>
      </w:r>
    </w:p>
    <w:p>
      <w:pPr>
        <w:widowControl/>
        <w:spacing w:after="280" w:line="312" w:lineRule="auto"/>
        <w:ind w:firstLine="567"/>
        <w:jc w:val="both"/>
      </w:pPr>
      <w:r>
        <w:rPr>
          <w:rFonts w:ascii="Inter" w:hAnsi="Inter"/>
          <w:color w:val="655D50"/>
          <w:sz w:val="24"/>
        </w:rPr>
        <w:t>Лицензиар ссылается на то, что лицензиат свои обязательства по уплате роялти надлежащим образом не выполнил.</w:t>
      </w:r>
    </w:p>
    <w:p>
      <w:pPr>
        <w:widowControl/>
        <w:spacing w:after="280" w:line="312" w:lineRule="auto"/>
        <w:ind w:firstLine="567"/>
        <w:jc w:val="both"/>
      </w:pPr>
      <w:r>
        <w:rPr>
          <w:rFonts w:ascii="Inter" w:hAnsi="Inter"/>
          <w:color w:val="655D50"/>
          <w:sz w:val="24"/>
        </w:rPr>
        <w:t>Дело № А14-22953/2022 Резолютивная часть определения объявлена 23 января 2025 г. Полный текст определения изготовлен 6 февраля 2025 г. Судебная коллегия по экономическим спорам Верховного Суда Российской Федерации в составе председательствующего судьи Попова В.В., судей Хатыповой Р.А., Чучуновой Н.С., при ведении протокола судебного заседания секретарем Кунаковым В.В., при участии в судебном заседании в режиме веб-конференции представителей индивидуального предпринимателя Артеменко Ростислава Игоревича (далее - Предприниматель) Матюшенко А.Н., общества с ограниченной ответственностью "Фамильные пекарни" (далее - Общество) Павленко К.А., рассмотрев в открытом судебном заседании кассационную жалобу Предпринимателя на решение Арбитражного суда Воронежской области от 18 октября 2023 г., постановление Девятнадцатого арбитражного апелляционного суда от 14 марта 2024 г. и постановление Суда по интеллектуальным правам от 29 июля 2024 г. по делу № А14-22953/2022,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обратилось в арбитражный суд с иском, уточненным в порядке статьи 49 Арбитражного процессуального кодекса Российской Федерации (далее - АПК РФ), к Предпринимателю о взыскании 583 723 руб. 41 коп. задолженности по уплате роялти и 1 208 871 руб. 44 коп. неустойки.</w:t>
      </w:r>
    </w:p>
    <w:p>
      <w:pPr>
        <w:widowControl/>
        <w:spacing w:after="280" w:line="312" w:lineRule="auto"/>
        <w:ind w:firstLine="567"/>
        <w:jc w:val="both"/>
      </w:pPr>
      <w:r>
        <w:rPr>
          <w:rFonts w:ascii="Inter" w:hAnsi="Inter"/>
          <w:color w:val="655D50"/>
          <w:sz w:val="24"/>
        </w:rPr>
        <w:t>Суд первой инстанции решением от 18 октября 2023 г., оставленным без изменения постановлениями суда апелляционной инстанции от 14 марта 2024 г. и суда кассационной инстанции от 29 июля 2024 г., удовлетворил иск в части, взыскал с Предпринимателя в пользу Общества 583 723 руб. 41 коп. задолженности по уплате роялти и 241 774 руб. 30 коп. неустойки, в остальной части иска отказал.</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Предприниматель, ссылаясь на существенное нарушение судами норм материального и процессуального права, просит отменить принятые по делу судебные акты и направить дело на новое рассмотрение.</w:t>
      </w:r>
    </w:p>
    <w:p>
      <w:pPr>
        <w:widowControl/>
        <w:spacing w:after="280" w:line="312" w:lineRule="auto"/>
        <w:ind w:firstLine="567"/>
        <w:jc w:val="both"/>
      </w:pPr>
      <w:r>
        <w:rPr>
          <w:rFonts w:ascii="Inter" w:hAnsi="Inter"/>
          <w:color w:val="655D50"/>
          <w:sz w:val="24"/>
        </w:rPr>
        <w:t>Определением от 26 декабря 2024 г. судьи Верховного Суда Российской Федерации Хатыповой Р.А. кассационная жалоба Предпринимателя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судебном заседании представитель Предпринимателя поддержал доводы жалобы, а представитель Общества возражал против ее удовлетворения по мотивам, изложенным в отзыве, считая обжалуемые судебные акты законными и обоснованными.</w:t>
      </w:r>
    </w:p>
    <w:p>
      <w:pPr>
        <w:widowControl/>
        <w:spacing w:after="280" w:line="312" w:lineRule="auto"/>
        <w:ind w:firstLine="567"/>
        <w:jc w:val="both"/>
      </w:pPr>
      <w:r>
        <w:rPr>
          <w:rFonts w:ascii="Inter" w:hAnsi="Inter"/>
          <w:color w:val="655D50"/>
          <w:sz w:val="24"/>
        </w:rPr>
        <w:t>Заслушав доклад судьи Верховного Суда Российской Федерации Хатыповой Р.А., выслушав объяснения представителей сторон, Судебная коллегия по экономическим спорам Верховного Суда Российской Федерации пришла к выводу о наличии предусмотренных частью 1 статьи 291.11 АПК РФ оснований для отмены обжалуемых судебных актов.</w:t>
      </w:r>
    </w:p>
    <w:p>
      <w:pPr>
        <w:widowControl/>
        <w:spacing w:after="280" w:line="312" w:lineRule="auto"/>
        <w:ind w:firstLine="567"/>
        <w:jc w:val="both"/>
      </w:pPr>
      <w:r>
        <w:rPr>
          <w:rFonts w:ascii="Inter" w:hAnsi="Inter"/>
          <w:color w:val="655D50"/>
          <w:sz w:val="24"/>
        </w:rPr>
        <w:t>В соответствии с пунктами 1, 5 статьи 1235 Гражданского кодекса Российской Федерации (далее - Гражданский кодекс, ГК РФ)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 При этом лицензиат обязуется уплатить лицензиару обусловленное договором вознаграждение, если договором не предусмотрено иное.</w:t>
      </w:r>
    </w:p>
    <w:p>
      <w:pPr>
        <w:widowControl/>
        <w:spacing w:after="280" w:line="312" w:lineRule="auto"/>
        <w:ind w:firstLine="567"/>
        <w:jc w:val="both"/>
      </w:pPr>
      <w:r>
        <w:rPr>
          <w:rFonts w:ascii="Inter" w:hAnsi="Inter"/>
          <w:color w:val="655D50"/>
          <w:sz w:val="24"/>
        </w:rPr>
        <w:t>Как установили суды и подтверждается материалами дела, Общество (лицензиар) и Предприниматель (лицензиат) 9 апреля 2018 г. заключили лицензионный договор № 4/18 (далее - договор), в соответствии с пунктом 1.1 которого лицензиар обязуется предоставить лицензиату право использовать в предпринимательской деятельности за вознаграждение коммерческое обозначение, комплекс исключительных прав (ноу-хау), указанных в пункте 1.3 договора, подключить лицензиата к ERP-системе и иным информационным ресурсам, используемым лицензиаром в предпринимательской деятельности, для взаимодействия с лицензиатом, а лицензиат обязуется выплачивать лицензиару обусловленное договором вознаграждение.</w:t>
      </w:r>
    </w:p>
    <w:p>
      <w:pPr>
        <w:widowControl/>
        <w:spacing w:after="280" w:line="312" w:lineRule="auto"/>
        <w:ind w:firstLine="567"/>
        <w:jc w:val="both"/>
      </w:pPr>
      <w:r>
        <w:rPr>
          <w:rFonts w:ascii="Inter" w:hAnsi="Inter"/>
          <w:color w:val="655D50"/>
          <w:sz w:val="24"/>
        </w:rPr>
        <w:t>Стороны в пункте 2.1 договора согласовали, что лицензиат уплачивает лицензиару первоначальный единовременный фиксированный платеж (паушальный взнос), роялти, а также платежи за открытие второй и последующих пекарен и розничных точек.</w:t>
      </w:r>
    </w:p>
    <w:p>
      <w:pPr>
        <w:widowControl/>
        <w:spacing w:after="280" w:line="312" w:lineRule="auto"/>
        <w:ind w:firstLine="567"/>
        <w:jc w:val="both"/>
      </w:pPr>
      <w:r>
        <w:rPr>
          <w:rFonts w:ascii="Inter" w:hAnsi="Inter"/>
          <w:color w:val="655D50"/>
          <w:sz w:val="24"/>
        </w:rPr>
        <w:t>В пункте 2.5 договора при его заключении стороны определили, что лицензиат выплачивает лицензиару роялти в размере 4% от суммы выручки лицензиата в пекарне за один месяц, но не менее 10 000 руб., без НДС. Роялти подлежит уплате начиная с четвертого месяца действия договора либо с момента проведения первой транзакции в ERP-системе в день открытия первой пекарни в зависимости от того, какое из событий наступит ранее.</w:t>
      </w:r>
    </w:p>
    <w:p>
      <w:pPr>
        <w:widowControl/>
        <w:spacing w:after="280" w:line="312" w:lineRule="auto"/>
        <w:ind w:firstLine="567"/>
        <w:jc w:val="both"/>
      </w:pPr>
      <w:r>
        <w:rPr>
          <w:rFonts w:ascii="Inter" w:hAnsi="Inter"/>
          <w:color w:val="655D50"/>
          <w:sz w:val="24"/>
        </w:rPr>
        <w:t>Согласно пункту 2.8 договора размер роялти за вторую и последующие пекарни, а также за каждую розничную точку составляет 4% от суммы выручки в каждой пекарне и розничной точке, подлежит уплате, начиная с момента проведения первой транзакции в ERP-системе в данной пекарне/розничной точке.</w:t>
      </w:r>
    </w:p>
    <w:p>
      <w:pPr>
        <w:widowControl/>
        <w:spacing w:after="280" w:line="312" w:lineRule="auto"/>
        <w:ind w:firstLine="567"/>
        <w:jc w:val="both"/>
      </w:pPr>
      <w:r>
        <w:rPr>
          <w:rFonts w:ascii="Inter" w:hAnsi="Inter"/>
          <w:color w:val="655D50"/>
          <w:sz w:val="24"/>
        </w:rPr>
        <w:t>Впоследствии дополнительными соглашениями от 11 марта 2019 г., от 16 сентября 2019 г. стороны внесли изменения в пункты 2.5, 2.8 договора и установили с 15 марта 2019 г. за вторую и последующие пекарни, а также за каждую розничную точку роялти в размере 3,5% от суммы выручки лицензиата в каждой пекарне и розничной точке за один месяц; начиная с 1 октября 2019 г. за вторую и последующие пекарни, а также за каждую розничную точку определили роялти в размере 3,1% от суммы выручки в каждой пекарне и розничной точке.</w:t>
      </w:r>
    </w:p>
    <w:p>
      <w:pPr>
        <w:widowControl/>
        <w:spacing w:after="280" w:line="312" w:lineRule="auto"/>
        <w:ind w:firstLine="567"/>
        <w:jc w:val="both"/>
      </w:pPr>
      <w:r>
        <w:rPr>
          <w:rFonts w:ascii="Inter" w:hAnsi="Inter"/>
          <w:color w:val="655D50"/>
          <w:sz w:val="24"/>
        </w:rPr>
        <w:t>Ссылаясь на то, что Предприниматель свои обязательства по уплате роялти надлежащим образом не выполнил, Общество обратилось в суд с требованиями о взыскании задолженности и неустойки.</w:t>
      </w:r>
    </w:p>
    <w:p>
      <w:pPr>
        <w:widowControl/>
        <w:spacing w:after="280" w:line="312" w:lineRule="auto"/>
        <w:ind w:firstLine="567"/>
        <w:jc w:val="both"/>
      </w:pPr>
      <w:r>
        <w:rPr>
          <w:rFonts w:ascii="Inter" w:hAnsi="Inter"/>
          <w:color w:val="655D50"/>
          <w:sz w:val="24"/>
        </w:rPr>
        <w:t>Суды трех инстанций, применив положения статей 160, 309, 310, 330, 333, 431, 1225, 1233, 1235, 1465, 1466, 1469 Гражданского кодекса, пришли к выводу о ненадлежащем исполнении ответчиком обязательства по уплате роялти в размере, согласованном в дополнительном соглашении от 16 сентября 2019 г., и взыскали сумму задолженности в предъявленном размере, уменьшив размер начисленной неустойки.</w:t>
      </w:r>
    </w:p>
    <w:p>
      <w:pPr>
        <w:widowControl/>
        <w:spacing w:after="280" w:line="312" w:lineRule="auto"/>
        <w:ind w:firstLine="567"/>
        <w:jc w:val="both"/>
      </w:pPr>
      <w:r>
        <w:rPr>
          <w:rFonts w:ascii="Inter" w:hAnsi="Inter"/>
          <w:color w:val="655D50"/>
          <w:sz w:val="24"/>
        </w:rPr>
        <w:t>Между тем суды не учли следующее.</w:t>
      </w:r>
    </w:p>
    <w:p>
      <w:pPr>
        <w:widowControl/>
        <w:spacing w:after="280" w:line="312" w:lineRule="auto"/>
        <w:ind w:firstLine="567"/>
        <w:jc w:val="both"/>
      </w:pPr>
      <w:r>
        <w:rPr>
          <w:rFonts w:ascii="Inter" w:hAnsi="Inter"/>
          <w:color w:val="655D50"/>
          <w:sz w:val="24"/>
        </w:rPr>
        <w:t>На основании пункта 1 статьи 432 Гражданского кодекса договор считается заключенным, если между сторонами в требуемой форме достигнуто соглашение по всем его существенным условиям.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widowControl/>
        <w:spacing w:after="280" w:line="312" w:lineRule="auto"/>
        <w:ind w:firstLine="567"/>
        <w:jc w:val="both"/>
      </w:pPr>
      <w:r>
        <w:rPr>
          <w:rFonts w:ascii="Inter" w:hAnsi="Inter"/>
          <w:color w:val="655D50"/>
          <w:sz w:val="24"/>
        </w:rPr>
        <w:t>В соответствии с разъяснениями, данными в пункте 1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соглашение сторон может быть достигнуто путем принятия (акцепта) одной стороной предложения заключить договор (оферты) другой стороны (пункт 2 статьи 432 ГК РФ), путем совместной разработки и согласования условий договора в переговорах, иным способом, например, договор считается заключенным и в том случае, когда из поведения сторон явствует их воля на заключение договора (пункт 2 статьи 158, пункт 3 статьи 432 ГК РФ).</w:t>
      </w:r>
    </w:p>
    <w:p>
      <w:pPr>
        <w:widowControl/>
        <w:spacing w:after="280" w:line="312" w:lineRule="auto"/>
        <w:ind w:firstLine="567"/>
        <w:jc w:val="both"/>
      </w:pPr>
      <w:r>
        <w:rPr>
          <w:rFonts w:ascii="Inter" w:hAnsi="Inter"/>
          <w:color w:val="655D50"/>
          <w:sz w:val="24"/>
        </w:rPr>
        <w:t>В постановлениях от 18 мая 2010 г. № 1404/10, от 8 февраля 2011 г. № 13970/10, от 5 февраля 2013 г. № 12444/12 Президиум Высшего Арбитражного Суда Российской Федерации последовательно указывал, что требования к существенным условиям договоров устанавливаются законодателем с целью недопущения неопределенности в правоотношениях сторон и для предупреждения разногласий относительно исполнения договора. Однако если одна сторона договора совершает действия по исполнению договора, а другая сторона принимает их без каких-либо возражений, то неопределенность в отношении содержания договоренностей сторон отсутствует. Следовательно, в этом случае соответствующие условия спорного договора должны считаться согласованными сторонами, а договор - заключенным.</w:t>
      </w:r>
    </w:p>
    <w:p>
      <w:pPr>
        <w:widowControl/>
        <w:spacing w:after="280" w:line="312" w:lineRule="auto"/>
        <w:ind w:firstLine="567"/>
        <w:jc w:val="both"/>
      </w:pPr>
      <w:r>
        <w:rPr>
          <w:rFonts w:ascii="Inter" w:hAnsi="Inter"/>
          <w:color w:val="655D50"/>
          <w:sz w:val="24"/>
        </w:rPr>
        <w:t>В пункте 5 информационного письма Президиума Высшего Арбитражного Суда Российской Федерации от 5 мая 1997 г. № 14 "Обзор практики разрешения споров, связанных с заключением, изменением и расторжением договоров" изложен правовой подход о том, что совершение конклюдентных действий может рассматриваться при определенных условиях как согласие на внесение изменений в договор, заключенный в письменной форме.</w:t>
      </w:r>
    </w:p>
    <w:p>
      <w:pPr>
        <w:widowControl/>
        <w:spacing w:after="280" w:line="312" w:lineRule="auto"/>
        <w:ind w:firstLine="567"/>
        <w:jc w:val="both"/>
      </w:pPr>
      <w:r>
        <w:rPr>
          <w:rFonts w:ascii="Inter" w:hAnsi="Inter"/>
          <w:color w:val="655D50"/>
          <w:sz w:val="24"/>
        </w:rPr>
        <w:t>Совершение конклюдентных действий является юридическим фактом, по своим последствиям равнозначным письменному волеизъявлению - согласию заключить, изменить или расторгнуть договор при определенных условиях. Действия состоят в полном или частичном выполнении условий, которые предложил контрагент.</w:t>
      </w:r>
    </w:p>
    <w:p>
      <w:pPr>
        <w:widowControl/>
        <w:spacing w:after="280" w:line="312" w:lineRule="auto"/>
        <w:ind w:firstLine="567"/>
        <w:jc w:val="both"/>
      </w:pPr>
      <w:r>
        <w:rPr>
          <w:rFonts w:ascii="Inter" w:hAnsi="Inter"/>
          <w:color w:val="655D50"/>
          <w:sz w:val="24"/>
        </w:rPr>
        <w:t>При этом заключение договора посредством совершения конклюдентных действий также может признаваться соблюдением письменной формы, что прямо указано в пункте 3 статьи 434 Гражданского кодекса.</w:t>
      </w:r>
    </w:p>
    <w:p>
      <w:pPr>
        <w:widowControl/>
        <w:spacing w:after="280" w:line="312" w:lineRule="auto"/>
        <w:ind w:firstLine="567"/>
        <w:jc w:val="both"/>
      </w:pPr>
      <w:r>
        <w:rPr>
          <w:rFonts w:ascii="Inter" w:hAnsi="Inter"/>
          <w:color w:val="655D50"/>
          <w:sz w:val="24"/>
        </w:rPr>
        <w:t>Согласно этой норме письменная форма договора считается соблюденной, если письменное предложение заключить договор принято в порядке, предусмотренном пунктом 3 статьи 438 Гражданского кодекса (например, уплата соответствующей суммы).</w:t>
      </w:r>
    </w:p>
    <w:p>
      <w:pPr>
        <w:widowControl/>
        <w:spacing w:after="280" w:line="312" w:lineRule="auto"/>
        <w:ind w:firstLine="567"/>
        <w:jc w:val="both"/>
      </w:pPr>
      <w:r>
        <w:rPr>
          <w:rFonts w:ascii="Inter" w:hAnsi="Inter"/>
          <w:color w:val="655D50"/>
          <w:sz w:val="24"/>
        </w:rPr>
        <w:t>К существенным условиям лицензионного договора относится, в частности, условие о размере вознаграждения, уплачиваемого лицензиатом лицензиару, либо о безвозмездном характере договора. Выплата вознаграждения по возмездному лицензионному договору может быть предусмотрена в форме фиксированных разовых или периодических платежей, процентных отчислений от дохода (выручки) либо в иной форме. Кроме того, может быть предусмотрен не размер вознаграждения, а порядок его определения (пункт 5 статьи 1235 Гражданского кодекса).</w:t>
      </w:r>
    </w:p>
    <w:p>
      <w:pPr>
        <w:widowControl/>
        <w:spacing w:after="280" w:line="312" w:lineRule="auto"/>
        <w:ind w:firstLine="567"/>
        <w:jc w:val="both"/>
      </w:pPr>
      <w:r>
        <w:rPr>
          <w:rFonts w:ascii="Inter" w:hAnsi="Inter"/>
          <w:color w:val="655D50"/>
          <w:sz w:val="24"/>
        </w:rPr>
        <w:t>Как следует из разъяснений, изложенных в пункте 40 постановления Пленума Верховного Суда Российской Федерации от 23 апреля 2019 г. № 10 "О применении части четвертой Гражданского кодекса Российской Федерации", если лицензионным договором прямо не предусмотрена его безвозмездность, но при этом в нем не согласовано условие о размере вознаграждения или о порядке его определения, такой договор в силу абзаца второго пункта 5 статьи 1235 ГК РФ считается незаключенным. При этом сторона, принявшая от другой стороны полное или частичное исполнение по такому лицензионному договору либо иным образом подтвердившая его действие,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(пункт 3 статьи 1, пункт 3 статьи 432 ГК РФ).</w:t>
      </w:r>
    </w:p>
    <w:p>
      <w:pPr>
        <w:widowControl/>
        <w:spacing w:after="280" w:line="312" w:lineRule="auto"/>
        <w:ind w:firstLine="567"/>
        <w:jc w:val="both"/>
      </w:pPr>
      <w:r>
        <w:rPr>
          <w:rFonts w:ascii="Inter" w:hAnsi="Inter"/>
          <w:color w:val="655D50"/>
          <w:sz w:val="24"/>
        </w:rPr>
        <w:t>То есть, каким образом будет осуществляться выплата вознаграждения по возмездному лицензионному договору, стороны решают в договоре сами. При этом, оценивая обстоятельства, связанные с изменением условий договора, касающихся размера вознаграждения (лицензионных платежей), суды должны принимать во внимание не только надлежащий характер оформления изменений условий договора, но и поведение сторон сделки, направленное на подтверждение согласованных условий.</w:t>
      </w:r>
    </w:p>
    <w:p>
      <w:pPr>
        <w:widowControl/>
        <w:spacing w:after="280" w:line="312" w:lineRule="auto"/>
        <w:ind w:firstLine="567"/>
        <w:jc w:val="both"/>
      </w:pPr>
      <w:r>
        <w:rPr>
          <w:rFonts w:ascii="Inter" w:hAnsi="Inter"/>
          <w:color w:val="655D50"/>
          <w:sz w:val="24"/>
        </w:rPr>
        <w:t>Стороны в договоре согласовали выплату вознаграждения в форме единовременного фиксированного платежа (паушальный взнос, пункт 2.2 договора), фиксированного разового платежа за открытие пекарен (пункты 2.1, 2.6 договора, дополнительное соглашение от 15 июля 2019 г.), а также порядок определения размера роялти (ежемесячные платежи) в зависимости от суммы выручки лицензиата и количества открытых пекарен (пункты 2.5, 2.8 договора).</w:t>
      </w:r>
    </w:p>
    <w:p>
      <w:pPr>
        <w:widowControl/>
        <w:spacing w:after="280" w:line="312" w:lineRule="auto"/>
        <w:ind w:firstLine="567"/>
        <w:jc w:val="both"/>
      </w:pPr>
      <w:r>
        <w:rPr>
          <w:rFonts w:ascii="Inter" w:hAnsi="Inter"/>
          <w:color w:val="655D50"/>
          <w:sz w:val="24"/>
        </w:rPr>
        <w:t>Пунктом 2.11 договора установлено, что лицензиар на основании данных, содержащихся в ERP-системе, до пятого числа месяца, следующего за отчетным, выставляет лицензиату счет на оплату, который последний обязуется оплатить не позднее трех рабочих дней с момента его направления лицензиаром. Счет для уплаты роялти лицензиар направляет лицензиату на адрес электронной почты.</w:t>
      </w:r>
    </w:p>
    <w:p>
      <w:pPr>
        <w:widowControl/>
        <w:spacing w:after="280" w:line="312" w:lineRule="auto"/>
        <w:ind w:firstLine="567"/>
        <w:jc w:val="both"/>
      </w:pPr>
      <w:r>
        <w:rPr>
          <w:rFonts w:ascii="Inter" w:hAnsi="Inter"/>
          <w:color w:val="655D50"/>
          <w:sz w:val="24"/>
        </w:rPr>
        <w:t>В пунктах 2.12, 2.13 договора стороны определили, что под выручкой для целей договора понимают совокупный объем денежных средств, поступивших в кассу и/или на расчетный счет лицензиата от предпринимательской деятельности в каждой открытой и функционирующей пекарне и розничной точке. Для расчета выручки за один месяц используется кассовый метод. Информацию о поступлении денежных средств лицензиар получает посредством ERP-системы. Данные, полученные указанным образом, ложатся в основу расчета роялти.</w:t>
      </w:r>
    </w:p>
    <w:p>
      <w:pPr>
        <w:widowControl/>
        <w:spacing w:after="280" w:line="312" w:lineRule="auto"/>
        <w:ind w:firstLine="567"/>
        <w:jc w:val="both"/>
      </w:pPr>
      <w:r>
        <w:rPr>
          <w:rFonts w:ascii="Inter" w:hAnsi="Inter"/>
          <w:color w:val="655D50"/>
          <w:sz w:val="24"/>
        </w:rPr>
        <w:t>Лицензиат обязался своевременно и в полном объеме осуществлять все платежи, установленные договором; своевременно и достоверно отражать сведения в ERP-системе о количестве изготовленной продукции, размере выручки и иных необходимых сведениях (пункты 4.20, 4.22 договора).</w:t>
      </w:r>
    </w:p>
    <w:p>
      <w:pPr>
        <w:widowControl/>
        <w:spacing w:after="280" w:line="312" w:lineRule="auto"/>
        <w:ind w:firstLine="567"/>
        <w:jc w:val="both"/>
      </w:pPr>
      <w:r>
        <w:rPr>
          <w:rFonts w:ascii="Inter" w:hAnsi="Inter"/>
          <w:color w:val="655D50"/>
          <w:sz w:val="24"/>
        </w:rPr>
        <w:t>Общество, уточняя иск, сослалось на ошибочное выставление счетов с 31 марта 2020 г. по 31 октября 2022 г. с роялти в размере 2,7% и 2,3% вместо согласованного в дополнительном соглашении от 16 сентября 2019 г. роялти в размере 3,1%. В пояснениях к иску Общество указало, что Предприниматель оплачивал счета не в полном объеме.</w:t>
      </w:r>
    </w:p>
    <w:p>
      <w:pPr>
        <w:widowControl/>
        <w:spacing w:after="280" w:line="312" w:lineRule="auto"/>
        <w:ind w:firstLine="567"/>
        <w:jc w:val="both"/>
      </w:pPr>
      <w:r>
        <w:rPr>
          <w:rFonts w:ascii="Inter" w:hAnsi="Inter"/>
          <w:color w:val="655D50"/>
          <w:sz w:val="24"/>
        </w:rPr>
        <w:t>Предприниматель, возражая против иска, приводил доводы о заключении договора в новой редакции и дополнительного соглашения от 10 апреля 2020 г. об изменении условий договора, которые Общество 9 апреля 2020 г. направило посредством электронной почты с темой "перезаключение лицензионного договора". Повторно лицензионный договор от 10 апреля 2020 г. с внесенными в него изменениями Предприниматель получил по электронной почте 15 апреля 2020 г.</w:t>
      </w:r>
    </w:p>
    <w:p>
      <w:pPr>
        <w:widowControl/>
        <w:spacing w:after="280" w:line="312" w:lineRule="auto"/>
        <w:ind w:firstLine="567"/>
        <w:jc w:val="both"/>
      </w:pPr>
      <w:r>
        <w:rPr>
          <w:rFonts w:ascii="Inter" w:hAnsi="Inter"/>
          <w:color w:val="655D50"/>
          <w:sz w:val="24"/>
        </w:rPr>
        <w:t>При этом из пункта 2.7 договора в редакции от 10 апреля 2020 г. следует, что процент роялти зависит от совокупного количества пекарен и розничных точек, находящихся в сети лицензиата, и составляет: 3,9% за одну торговую точку; 3,5% за две торговые точки; 3,1% за три торговые точки; 2,9% за четыре торговые точки и 2,3% за пять торговых точек.</w:t>
      </w:r>
    </w:p>
    <w:p>
      <w:pPr>
        <w:widowControl/>
        <w:spacing w:after="280" w:line="312" w:lineRule="auto"/>
        <w:ind w:firstLine="567"/>
        <w:jc w:val="both"/>
      </w:pPr>
      <w:r>
        <w:rPr>
          <w:rFonts w:ascii="Inter" w:hAnsi="Inter"/>
          <w:color w:val="655D50"/>
          <w:sz w:val="24"/>
        </w:rPr>
        <w:t>Отклоняя приведенные доводы ответчика, суд первой инстанции указал, что в отношении договора и дополнительного соглашения от 10 апреля 2020 г. невозможно убедиться, выражена ли истцом воля на подписание данных документов из-за отсутствия в них подписи лица (как следствие, несоблюдение письменной формы).</w:t>
      </w:r>
    </w:p>
    <w:p>
      <w:pPr>
        <w:widowControl/>
        <w:spacing w:after="280" w:line="312" w:lineRule="auto"/>
        <w:ind w:firstLine="567"/>
        <w:jc w:val="both"/>
      </w:pPr>
      <w:r>
        <w:rPr>
          <w:rFonts w:ascii="Inter" w:hAnsi="Inter"/>
          <w:color w:val="655D50"/>
          <w:sz w:val="24"/>
        </w:rPr>
        <w:t>Относительно дополнительных соглашений от 15 июля 2019 г. и 16 сентября 2019 г. суд сделал выводы о соблюдении письменной формы, в силу чего их условия приобретают для сторон обязательную юридическую силу.</w:t>
      </w:r>
    </w:p>
    <w:p>
      <w:pPr>
        <w:widowControl/>
        <w:spacing w:after="280" w:line="312" w:lineRule="auto"/>
        <w:ind w:firstLine="567"/>
        <w:jc w:val="both"/>
      </w:pPr>
      <w:r>
        <w:rPr>
          <w:rFonts w:ascii="Inter" w:hAnsi="Inter"/>
          <w:color w:val="655D50"/>
          <w:sz w:val="24"/>
        </w:rPr>
        <w:t>Выводы суда поддержал суд апелляционной инстанции, отметив, что оплата по выставленным счетам Предпринимателем была произведена в части; дополнительное соглашение от 10 апреля 2020 г. не подписано Обществом, из файла типа WORD не представляется возможным установить волю Общества на его подписание; соответствующего соглашения в порядке, предусмотренном пунктом 13.5 договора, оформлено не было.</w:t>
      </w:r>
    </w:p>
    <w:p>
      <w:pPr>
        <w:widowControl/>
        <w:spacing w:after="280" w:line="312" w:lineRule="auto"/>
        <w:ind w:firstLine="567"/>
        <w:jc w:val="both"/>
      </w:pPr>
      <w:r>
        <w:rPr>
          <w:rFonts w:ascii="Inter" w:hAnsi="Inter"/>
          <w:color w:val="655D50"/>
          <w:sz w:val="24"/>
        </w:rPr>
        <w:t>Суд по интеллектуальным правам согласился с выводами судов и дополнительно указал, что иные изменения стоимости истцом учтены в расчетах, в связи с чем аргументы ответчика о недобросовестном поведении истца нельзя признать убедительными.</w:t>
      </w:r>
    </w:p>
    <w:p>
      <w:pPr>
        <w:widowControl/>
        <w:spacing w:after="280" w:line="312" w:lineRule="auto"/>
        <w:ind w:firstLine="567"/>
        <w:jc w:val="both"/>
      </w:pPr>
      <w:r>
        <w:rPr>
          <w:rFonts w:ascii="Inter" w:hAnsi="Inter"/>
          <w:color w:val="655D50"/>
          <w:sz w:val="24"/>
        </w:rPr>
        <w:t>Как следует из материалов дела, начиная с 31 марта 2020 г. Общество выставляло счета для уплаты роялти с процентом 2,7% от суммы выручки. После открытия Предпринимателем 15 декабря 2020 г. пятой пекарни Общество выставило счет от 31 декабря 2020 г., произведя расчет роялти отдельно с 1 декабря по 14 декабря 2020 г. в размере 2,7% от суммы выручки, а с 15 декабря по 31 декабря 2020 г. - в размере 2,3%. И все последующие счета по октябрь 2022 года Общество выставляло с роялти в размере 2,3%.</w:t>
      </w:r>
    </w:p>
    <w:p>
      <w:pPr>
        <w:widowControl/>
        <w:spacing w:after="280" w:line="312" w:lineRule="auto"/>
        <w:ind w:firstLine="567"/>
        <w:jc w:val="both"/>
      </w:pPr>
      <w:r>
        <w:rPr>
          <w:rFonts w:ascii="Inter" w:hAnsi="Inter"/>
          <w:color w:val="655D50"/>
          <w:sz w:val="24"/>
        </w:rPr>
        <w:t>За каждый календарный месяц (отчетный период) истец направлял ответчику акты с отражением в них суммы роялти, совпадающей с указанной в счетах суммой.</w:t>
      </w:r>
    </w:p>
    <w:p>
      <w:pPr>
        <w:widowControl/>
        <w:spacing w:after="280" w:line="312" w:lineRule="auto"/>
        <w:ind w:firstLine="567"/>
        <w:jc w:val="both"/>
      </w:pPr>
      <w:r>
        <w:rPr>
          <w:rFonts w:ascii="Inter" w:hAnsi="Inter"/>
          <w:color w:val="655D50"/>
          <w:sz w:val="24"/>
        </w:rPr>
        <w:t>При этом счета, которые Общество приложило к иску, выставлены за период с 4 квартала 2019 года по октябрь 2022 года, но датированы 10 и 11 ноября 2022 г.</w:t>
      </w:r>
    </w:p>
    <w:p>
      <w:pPr>
        <w:widowControl/>
        <w:spacing w:after="280" w:line="312" w:lineRule="auto"/>
        <w:ind w:firstLine="567"/>
        <w:jc w:val="both"/>
      </w:pPr>
      <w:r>
        <w:rPr>
          <w:rFonts w:ascii="Inter" w:hAnsi="Inter"/>
          <w:color w:val="655D50"/>
          <w:sz w:val="24"/>
        </w:rPr>
        <w:t>Как указывал Предприниматель в отзывах, оплата происходила согласно выставленным ранее счетам на протяжении двух лет и у истца не возникало претензий по уплате роялти, следовательно, исполнение обязательств происходило согласно условиям договора в редакции от 10 апреля 2020 г.; расчет подлежащего уплате роялти осуществлял сам лицензиар в соответствии с пунктом 2.7 договора в новой редакции на основании информации о поступлении денежных средств, полученной посредством ERP-системы; новые счета были выставлены после направления Предпринимателем уведомления о расторжении договора.</w:t>
      </w:r>
    </w:p>
    <w:p>
      <w:pPr>
        <w:widowControl/>
        <w:spacing w:after="280" w:line="312" w:lineRule="auto"/>
        <w:ind w:firstLine="567"/>
        <w:jc w:val="both"/>
      </w:pPr>
      <w:r>
        <w:rPr>
          <w:rFonts w:ascii="Inter" w:hAnsi="Inter"/>
          <w:color w:val="655D50"/>
          <w:sz w:val="24"/>
        </w:rPr>
        <w:t>Аналогичные доводы приводил Предприниматель в апелляционной и кассационной жалобах, подчеркивая, что все счета и акты подписывал руководитель Общества.</w:t>
      </w:r>
    </w:p>
    <w:p>
      <w:pPr>
        <w:widowControl/>
        <w:spacing w:after="280" w:line="312" w:lineRule="auto"/>
        <w:ind w:firstLine="567"/>
        <w:jc w:val="both"/>
      </w:pPr>
      <w:r>
        <w:rPr>
          <w:rFonts w:ascii="Inter" w:hAnsi="Inter"/>
          <w:color w:val="655D50"/>
          <w:sz w:val="24"/>
        </w:rPr>
        <w:t>Однако суды, ограничившись указанием на невозможность установления воли Общества на подписание договора в новой редакции и дополнительного соглашения ввиду отсутствия в них подписи, не дали содержательной оценки поведению лицензиара, который своими действиями подтверждал внесение изменений в договор и фактически исполнял его с учетом таких изменений; не дали надлежащей оценки доводам Предпринимателя о полной оплате выставленных счетов по октябрь 2022 года.</w:t>
      </w:r>
    </w:p>
    <w:p>
      <w:pPr>
        <w:widowControl/>
        <w:spacing w:after="280" w:line="312" w:lineRule="auto"/>
        <w:ind w:firstLine="567"/>
        <w:jc w:val="both"/>
      </w:pPr>
      <w:r>
        <w:rPr>
          <w:rFonts w:ascii="Inter" w:hAnsi="Inter"/>
          <w:color w:val="655D50"/>
          <w:sz w:val="24"/>
        </w:rPr>
        <w:t>Между тем указанные выше доводы ответчика имели значение для правильного рассмотрения дела, поскольку согласно пункту 3 статьи 1, пункту 3 статьи 307 Гражданского кодекса при установлении, осуществлении и защите гражданских прав и при исполнении гражданских обязанностей, в том числе при исполнении обязательства, стороны должны действовать добросовестно.</w:t>
      </w:r>
    </w:p>
    <w:p>
      <w:pPr>
        <w:widowControl/>
        <w:spacing w:after="280" w:line="312" w:lineRule="auto"/>
        <w:ind w:firstLine="567"/>
        <w:jc w:val="both"/>
      </w:pPr>
      <w:r>
        <w:rPr>
          <w:rFonts w:ascii="Inter" w:hAnsi="Inter"/>
          <w:color w:val="655D50"/>
          <w:sz w:val="24"/>
        </w:rPr>
        <w:t>Оценивая действия сторон как добросовестные или недобросовестные, как указано в пункте 1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судам следует исходить из поведения, ожидаемого от любого участника гражданского оборота, учитывающего права и законные интересы другой стороны.</w:t>
      </w:r>
    </w:p>
    <w:p>
      <w:pPr>
        <w:widowControl/>
        <w:spacing w:after="280" w:line="312" w:lineRule="auto"/>
        <w:ind w:firstLine="567"/>
        <w:jc w:val="both"/>
      </w:pPr>
      <w:r>
        <w:rPr>
          <w:rFonts w:ascii="Inter" w:hAnsi="Inter"/>
          <w:color w:val="655D50"/>
          <w:sz w:val="24"/>
        </w:rPr>
        <w:t>Частным проявлением принципа добросовестности является эстоппель, представляющий собой правовой механизм, направленный на обеспечение последовательного поведения участников правоотношений.</w:t>
      </w:r>
    </w:p>
    <w:p>
      <w:pPr>
        <w:widowControl/>
        <w:spacing w:after="280" w:line="312" w:lineRule="auto"/>
        <w:ind w:firstLine="567"/>
        <w:jc w:val="both"/>
      </w:pPr>
      <w:r>
        <w:rPr>
          <w:rFonts w:ascii="Inter" w:hAnsi="Inter"/>
          <w:color w:val="655D50"/>
          <w:sz w:val="24"/>
        </w:rPr>
        <w:t>Поведение одной из сторон, противоречащее ее предшествующим действиям и заявлениям, на которые разумно положилась другая сторона и вследствие противоречивого поведения понесла ущерб, является недобросовестным и в силу пункта 3 статьи 1, пункта 3 статьи 307 Гражданского кодекса признается недопустимым.</w:t>
      </w:r>
    </w:p>
    <w:p>
      <w:pPr>
        <w:widowControl/>
        <w:spacing w:after="280" w:line="312" w:lineRule="auto"/>
        <w:ind w:firstLine="567"/>
        <w:jc w:val="both"/>
      </w:pPr>
      <w:r>
        <w:rPr>
          <w:rFonts w:ascii="Inter" w:hAnsi="Inter"/>
          <w:color w:val="655D50"/>
          <w:sz w:val="24"/>
        </w:rPr>
        <w:t>Эстоппель защищает добросовестную сторону, поэтому он находит применение тогда, когда доверие лица, вызванное поведением другой стороны, хотя и противоречит формальной правовой или фактической действительности, но может быть признано разумным, оправданным (определения Судебной коллегии по экономическим спорам Верховного Суда Российской Федерации от 8 октября 2024 г. № 300-ЭС24-6956, от 27 декабря 2024 г. № 301-ЭС24-12858).</w:t>
      </w:r>
    </w:p>
    <w:p>
      <w:pPr>
        <w:widowControl/>
        <w:spacing w:after="280" w:line="312" w:lineRule="auto"/>
        <w:ind w:firstLine="567"/>
        <w:jc w:val="both"/>
      </w:pPr>
      <w:r>
        <w:rPr>
          <w:rFonts w:ascii="Inter" w:hAnsi="Inter"/>
          <w:color w:val="655D50"/>
          <w:sz w:val="24"/>
        </w:rPr>
        <w:t>В данном случае Общество, выставляя в течение длительного времени Предпринимателю счета на уплату роялти в соответствии с условиями договора в новой редакции, создало для него обоснованные ожидания, что Общество воспринимает договор и дополнительное соглашение от 10 апреля 2020 г., как заключенные, и согласно с их условиями, в том числе с условием о размере роялти.</w:t>
      </w:r>
    </w:p>
    <w:p>
      <w:pPr>
        <w:widowControl/>
        <w:spacing w:after="280" w:line="312" w:lineRule="auto"/>
        <w:ind w:firstLine="567"/>
        <w:jc w:val="both"/>
      </w:pPr>
      <w:r>
        <w:rPr>
          <w:rFonts w:ascii="Inter" w:hAnsi="Inter"/>
          <w:color w:val="655D50"/>
          <w:sz w:val="24"/>
        </w:rPr>
        <w:t>Учитывая повышенный стандарт осмотрительности поведения предпринимателей в гражданских правоотношениях, стандарт ожидаемого добросовестного поведения при ведении деятельности предпринимателями, поведение Общества, которое, с одной стороны, в заявленный в иске период выставляло счета с учетом роялти в размере 2,7% и после открытия Предпринимателем пятой пекарни - в размере 2,3% в соответствии с условиями договора от 10 апреля 2020 г., а, с другой стороны, оспаривало его заключенность, не может быть признано добросовестным (статьи 10, 401 Гражданского кодекса).</w:t>
      </w:r>
    </w:p>
    <w:p>
      <w:pPr>
        <w:widowControl/>
        <w:spacing w:after="280" w:line="312" w:lineRule="auto"/>
        <w:ind w:firstLine="567"/>
        <w:jc w:val="both"/>
      </w:pPr>
      <w:r>
        <w:rPr>
          <w:rFonts w:ascii="Inter" w:hAnsi="Inter"/>
          <w:color w:val="655D50"/>
          <w:sz w:val="24"/>
        </w:rPr>
        <w:t>Таким образом, суд первой инстанции не учел указанные выше нормы права и правовые подходы, не исследовал обстоятельства, которые могли бы повлиять на выводы относительно воли Общества на подписание договора в новой редакции, не сопоставил выставленные счета и платежные документы в соответствии с конклюдентными действиями сторон по исполнению договора, не проверил наличие задолженности за период с 31 марта 2020 г.</w:t>
      </w:r>
    </w:p>
    <w:p>
      <w:pPr>
        <w:widowControl/>
        <w:spacing w:after="280" w:line="312" w:lineRule="auto"/>
        <w:ind w:firstLine="567"/>
        <w:jc w:val="both"/>
      </w:pPr>
      <w:r>
        <w:rPr>
          <w:rFonts w:ascii="Inter" w:hAnsi="Inter"/>
          <w:color w:val="655D50"/>
          <w:sz w:val="24"/>
        </w:rPr>
        <w:t>Суды апелляционной и кассационной инстанций не устранили допущенные судом нарушения.</w:t>
      </w:r>
    </w:p>
    <w:p>
      <w:pPr>
        <w:widowControl/>
        <w:spacing w:after="280" w:line="312" w:lineRule="auto"/>
        <w:ind w:firstLine="567"/>
        <w:jc w:val="both"/>
      </w:pPr>
      <w:r>
        <w:rPr>
          <w:rFonts w:ascii="Inter" w:hAnsi="Inter"/>
          <w:color w:val="655D50"/>
          <w:sz w:val="24"/>
        </w:rPr>
        <w:t>Как указал Конституционный Суд Российской Федерации в постановлении от 24 марта 2023 г. № 10-П, суды при рассмотрении дел обязаны исследовать фактические обстоятельства по существу, не ограничиваясь установлением формальных условий применения нормы, с тем чтобы право на судебную защиту не оказалось ущемленным.</w:t>
      </w:r>
    </w:p>
    <w:p>
      <w:pPr>
        <w:widowControl/>
        <w:spacing w:after="280" w:line="312" w:lineRule="auto"/>
        <w:ind w:firstLine="567"/>
        <w:jc w:val="both"/>
      </w:pPr>
      <w:r>
        <w:rPr>
          <w:rFonts w:ascii="Inter" w:hAnsi="Inter"/>
          <w:color w:val="655D50"/>
          <w:sz w:val="24"/>
        </w:rPr>
        <w:t>Частью 3 статьи 8 АПК РФ предусмотрено, что арбитражный суд не вправе своими действиями ставить какую-либо из сторон в преимущественное положение, равно как и умалять права одной из сторон.</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считает, что суды трех инстанций допустили существенные нарушения норм материального и процессуального права, повлиявшие на исход дела и без устранения которых невозможна защита нарушенных прав и законных интересов заявителя, в связи с чем решение Арбитражного суда Воронежской области от 18 октября 2023 г., постановление Девятнадцатого арбитражного апелляционного суда от 14 марта 2024 г. и постановление Суда по интеллектуальным правам от 29 июля 2024 г. на основании части 1 статьи 291.11 АПК РФ подлежат отмене, а дело -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суду надлежит учесть изложенное, исследовать все обстоятельства, имеющие значение для разрешения спора, и, правильно применив нормы материального и процессуального права, принять законное и обоснованное решение.</w:t>
      </w:r>
    </w:p>
    <w:p>
      <w:pPr>
        <w:widowControl/>
        <w:spacing w:after="280" w:line="312" w:lineRule="auto"/>
        <w:ind w:firstLine="567"/>
        <w:jc w:val="both"/>
      </w:pPr>
      <w:r>
        <w:rPr>
          <w:rFonts w:ascii="Inter" w:hAnsi="Inter"/>
          <w:color w:val="655D50"/>
          <w:sz w:val="24"/>
        </w:rPr>
        <w:t>Руководствуясь статьями 176, 291.11 - 291.15 АПК РФ,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Воронежской области от 18 октября 2023 г., постановление Девятнадцатого арбитражного апелляционного суда от 14 марта 2024 г. и постановление Суда по интеллектуальным правам от 29 июля 2024 г. по делу № А14-22953/2022 отменить.</w:t>
      </w:r>
    </w:p>
    <w:p>
      <w:pPr>
        <w:widowControl/>
        <w:spacing w:after="280" w:line="312" w:lineRule="auto"/>
        <w:ind w:firstLine="567"/>
        <w:jc w:val="both"/>
      </w:pPr>
      <w:r>
        <w:rPr>
          <w:rFonts w:ascii="Inter" w:hAnsi="Inter"/>
          <w:color w:val="655D50"/>
          <w:sz w:val="24"/>
        </w:rPr>
        <w:t>Дело № А14-22953/2022 направить на новое рассмотрение в Арбитражный суд Воронежской области.</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В.В.ПОПОВ</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Р.А.ХАТЫПОВА</w:t>
      </w:r>
    </w:p>
    <w:p>
      <w:pPr>
        <w:widowControl/>
        <w:spacing w:after="280" w:line="312" w:lineRule="auto"/>
        <w:ind w:firstLine="567"/>
        <w:jc w:val="both"/>
      </w:pPr>
      <w:r>
        <w:rPr>
          <w:rFonts w:ascii="Inter" w:hAnsi="Inter"/>
          <w:color w:val="655D50"/>
          <w:sz w:val="24"/>
        </w:rPr>
        <w:t>Судья</w:t>
      </w:r>
    </w:p>
    <w:p>
      <w:pPr>
        <w:widowControl/>
        <w:spacing w:after="280" w:line="312" w:lineRule="auto"/>
        <w:ind w:firstLine="567"/>
        <w:jc w:val="both"/>
      </w:pPr>
      <w:r>
        <w:rPr>
          <w:rFonts w:ascii="Inter" w:hAnsi="Inter"/>
          <w:color w:val="655D50"/>
          <w:sz w:val="24"/>
        </w:rPr>
        <w:t>Н.С.ЧУЧУНОВА</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судом не дана содержательная оценка поведению лицензиара, который своими действиями подтверждал внесение изменений в договор и фактически исполнял его с учетом таких изменений, а также оценка доводам лицензиата о полной оплате выставленных счетов.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06.02.2025 № 310-ЭС24-20342 по делу № А14-22953/2022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06.02.2025 № 310-ЭС24-20342 по делу № А14-22953/2022</dc:title>
  <dc:subject/>
  <dc:creator>CasusLegal</dc:creator>
  <cp:keywords/>
  <dc:description/>
  <cp:lastModifiedBy>CasusLegal</cp:lastModifiedBy>
  <cp:revision>1</cp:revision>
  <dcterms:created xsi:type="dcterms:W3CDTF">2026-07-21T22:04:31Z</dcterms:created>
  <dcterms:modified xsi:type="dcterms:W3CDTF">2026-07-21T22:04:31Z</dcterms:modified>
  <cp:category/>
</cp:coreProperties>
</file>