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11.12.2025 № 301-ЭС25-11592 по делу № А79-7047/2022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11.12.2025</w:t>
      </w:r>
    </w:p>
    <w:p>
      <w:pPr>
        <w:spacing w:after="40"/>
      </w:pPr>
      <w:r>
        <w:rPr>
          <w:rFonts w:ascii="Inter" w:hAnsi="Inter"/>
          <w:b/>
          <w:color w:val="8B8171"/>
          <w:sz w:val="18"/>
        </w:rPr>
        <w:t xml:space="preserve">Номер дела: </w:t>
      </w:r>
      <w:r>
        <w:rPr>
          <w:rFonts w:ascii="Inter" w:hAnsi="Inter"/>
          <w:color w:val="655D50"/>
          <w:sz w:val="18"/>
        </w:rPr>
        <w:t>301-ЭС25-11592</w:t>
      </w:r>
    </w:p>
    <w:p>
      <w:pPr>
        <w:spacing w:after="40"/>
      </w:pPr>
      <w:r>
        <w:rPr>
          <w:rFonts w:ascii="Inter" w:hAnsi="Inter"/>
          <w:b/>
          <w:color w:val="8B8171"/>
          <w:sz w:val="18"/>
        </w:rPr>
        <w:t xml:space="preserve">Применённые нормы: </w:t>
      </w:r>
      <w:r>
        <w:rPr>
          <w:rFonts w:ascii="Inter" w:hAnsi="Inter"/>
          <w:color w:val="655D50"/>
          <w:sz w:val="18"/>
        </w:rPr>
        <w:t>ст. 170 АПК РФ, ст. 291.11 АПК РФ, ст. 51 АПК РФ</w:t>
      </w:r>
    </w:p>
    <w:p>
      <w:pPr>
        <w:spacing w:after="40"/>
      </w:pPr>
      <w:r>
        <w:rPr>
          <w:rFonts w:ascii="Inter" w:hAnsi="Inter"/>
          <w:b/>
          <w:color w:val="8B8171"/>
          <w:sz w:val="18"/>
        </w:rPr>
        <w:t xml:space="preserve">Теги: </w:t>
      </w:r>
      <w:r>
        <w:rPr>
          <w:rFonts w:ascii="Inter" w:hAnsi="Inter"/>
          <w:color w:val="655D50"/>
          <w:sz w:val="18"/>
        </w:rPr>
        <w:t>Договор подряда, Односторонний отказ от исполнения договора, Неосновательное обогащение, Статья 450.1 ГК РФ, Статья 715 ГК РФ, Статья 1102 ГК РФ, Возврат аванса</w:t>
      </w:r>
    </w:p>
    <w:p>
      <w:pPr>
        <w:widowControl/>
        <w:spacing w:after="280" w:line="312" w:lineRule="auto"/>
        <w:ind w:firstLine="567"/>
        <w:jc w:val="both"/>
      </w:pPr>
      <w:r>
        <w:rPr>
          <w:rFonts w:ascii="Inter" w:hAnsi="Inter"/>
          <w:color w:val="655D50"/>
          <w:sz w:val="24"/>
        </w:rPr>
        <w:t>Заказчик ссылается на невыполнение исполнителем работ на сумму полученного аванса.</w:t>
      </w:r>
    </w:p>
    <w:p>
      <w:pPr>
        <w:widowControl/>
        <w:spacing w:after="280" w:line="312" w:lineRule="auto"/>
        <w:ind w:firstLine="567"/>
        <w:jc w:val="both"/>
      </w:pPr>
      <w:r>
        <w:rPr>
          <w:rFonts w:ascii="Inter" w:hAnsi="Inter"/>
          <w:color w:val="655D50"/>
          <w:sz w:val="24"/>
        </w:rPr>
        <w:t>Дело № А79-7047/2022 Резолютивная часть определения объявлена 2 декабря 2025 г. Полный текст определения изготовлен 11 декабря 2025 г. Судебная коллегия по экономическим спорам Верховного Суда Российской Федерации в составе председательствующего Попова В.В., судей Грачевой И.Л., Хатыповой Р.А., при участии в открытом судебном заседании представителей: акционерного общества "Мехатроника" (далее - Общество) Кульвеца Р.А., Воробьева Ю.А., Черновой А.И., закрытого акционерного общества "Чебоксарское предприятие "Сеспель" (далее - Предприятие) Филимонова А.В., рассмотрев кассационную жалобу Общества на решение Арбитражного суда Чувашской Республики - Чувашии от 31 октября 2024 г., постановление Первого арбитражного апелляционного суда от 3 июня 2025 г. и постановление Арбитражного суда Волго-Вятского округа от 13 августа 2025 г. по делу № А79-7047/2022,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Предприятие обратилось в Арбитражный суд Чувашской Республики - Чувашии с иском к Обществу о расторжении договора от 11 сентября 2019 г. № 910, дополнительных соглашений от 7 апреля 2020 г. № 1, от 10 июля 2020 г. № 2, от 4 сентября 2020 г. № 3, от 30 августа 2021 г. № 4, от 30 августа 2021 г. № 5 с 25 июля 2022 г., взыскании 202 748 228 руб. 10 коп. неосновательного обогащения (с учетом уточнения исковых требований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Общество предъявило встречный иск к Предприятию о признании обязательства по оснащению установки № 1 для сварки трением перемешиванием продольных швов (УСТП № 1) по договору от 11 сентября 2019 г. № 910, техническому заданию и дополнительному соглашению от 7 апреля 2020 г. № 1 прекращенным надлежащим исполнением.</w:t>
      </w:r>
    </w:p>
    <w:p>
      <w:pPr>
        <w:widowControl/>
        <w:spacing w:after="280" w:line="312" w:lineRule="auto"/>
        <w:ind w:firstLine="567"/>
        <w:jc w:val="both"/>
      </w:pPr>
      <w:r>
        <w:rPr>
          <w:rFonts w:ascii="Inter" w:hAnsi="Inter"/>
          <w:color w:val="655D50"/>
          <w:sz w:val="24"/>
        </w:rPr>
        <w:t>В порядке статьи 51 АПК РФ к участию в деле в качестве третьего лица, не заявляющего самостоятельных требований относительно предмета спора, привлечено акционерное общество "Ракетно-космический центр "Прогресс" (далее - Центр).</w:t>
      </w:r>
    </w:p>
    <w:p>
      <w:pPr>
        <w:widowControl/>
        <w:spacing w:after="280" w:line="312" w:lineRule="auto"/>
        <w:ind w:firstLine="567"/>
        <w:jc w:val="both"/>
      </w:pPr>
      <w:r>
        <w:rPr>
          <w:rFonts w:ascii="Inter" w:hAnsi="Inter"/>
          <w:color w:val="655D50"/>
          <w:sz w:val="24"/>
        </w:rPr>
        <w:t>Суд первой инстанции решением от 31 октября 2024 г., оставленным без изменения постановлениями апелляционного суда от 3 июня 2025 г. и окружного суда от 13 августа 2025 г., первоначальный иск удовлетворил в части, признал договор от 11 сентября 2019 г. № 910 в редакции дополнительных соглашений от 7 апреля 2020 г. № 1, от 10 июля 2020 г. № 2, от 4 сентября 2020 г. № 3, от 30 августа 2021 г. № 4 и № 5 расторгнутым с 25 июля 2022 г., взыскал с Общества в пользу Предприятия 128 969 959 руб. 86 коп. денежных средств, во встречном иске отказал; распределил судебные расходы.</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ссылаясь на существенное нарушение судами норм материального и процессуального права, просит отменить состоявшиеся по делу судебные акты и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от 12 ноября 2025 г. судьи Верховного Суда Российской Федерации Хатыповой Р.А. кассационная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Общества поддержали доводы кассационной жалобы, представитель Предприятия возражал против ее удовлетворения, считая судебные акты законными.</w:t>
      </w:r>
    </w:p>
    <w:p>
      <w:pPr>
        <w:widowControl/>
        <w:spacing w:after="280" w:line="312" w:lineRule="auto"/>
        <w:ind w:firstLine="567"/>
        <w:jc w:val="both"/>
      </w:pPr>
      <w:r>
        <w:rPr>
          <w:rFonts w:ascii="Inter" w:hAnsi="Inter"/>
          <w:color w:val="655D50"/>
          <w:sz w:val="24"/>
        </w:rPr>
        <w:t>Центр, извещенный надлежащим образом о времени и месте судебного заседания, своего представителя в суд не направил, что в соответствии со статьей 291.10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сторон,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11 сентября 2019 г. Предприятие (заказчик) и общество с ограниченной ответственностью "Мехатроника" (после реорганизации - акционерное общество "Мехатроника", исполнитель) заключили договор № 910 (далее - договор).</w:t>
      </w:r>
    </w:p>
    <w:p>
      <w:pPr>
        <w:widowControl/>
        <w:spacing w:after="280" w:line="312" w:lineRule="auto"/>
        <w:ind w:firstLine="567"/>
        <w:jc w:val="both"/>
      </w:pPr>
      <w:r>
        <w:rPr>
          <w:rFonts w:ascii="Inter" w:hAnsi="Inter"/>
          <w:color w:val="655D50"/>
          <w:sz w:val="24"/>
        </w:rPr>
        <w:t>В соответствии с пунктами 1.1, 1.4 договора исполнитель обязался произвести оснащение установок специальных СТП трех моделей с установкой оборудования и комплектующих исполнителя, осуществить монтаж и пусконаладочные работы согласно техническому заданию (далее - ТЗ) и календарному плану. Заказчик обязался принять и оплатить оборудование, монтаж и пусконаладочные работы.</w:t>
      </w:r>
    </w:p>
    <w:p>
      <w:pPr>
        <w:widowControl/>
        <w:spacing w:after="280" w:line="312" w:lineRule="auto"/>
        <w:ind w:firstLine="567"/>
        <w:jc w:val="both"/>
      </w:pPr>
      <w:r>
        <w:rPr>
          <w:rFonts w:ascii="Inter" w:hAnsi="Inter"/>
          <w:color w:val="655D50"/>
          <w:sz w:val="24"/>
        </w:rPr>
        <w:t>Согласно пункту 1.5 договора общий срок выполнения работ: 12 месяцев с момента оплаты заказчиком 50% от стоимости договора.</w:t>
      </w:r>
    </w:p>
    <w:p>
      <w:pPr>
        <w:widowControl/>
        <w:spacing w:after="280" w:line="312" w:lineRule="auto"/>
        <w:ind w:firstLine="567"/>
        <w:jc w:val="both"/>
      </w:pPr>
      <w:r>
        <w:rPr>
          <w:rFonts w:ascii="Inter" w:hAnsi="Inter"/>
          <w:color w:val="655D50"/>
          <w:sz w:val="24"/>
        </w:rPr>
        <w:t>В пунктах 2.1, 2.2 договора стороны согласовали стоимость работ и порядок оплаты выполненных работ.</w:t>
      </w:r>
    </w:p>
    <w:p>
      <w:pPr>
        <w:widowControl/>
        <w:spacing w:after="280" w:line="312" w:lineRule="auto"/>
        <w:ind w:firstLine="567"/>
        <w:jc w:val="both"/>
      </w:pPr>
      <w:r>
        <w:rPr>
          <w:rFonts w:ascii="Inter" w:hAnsi="Inter"/>
          <w:color w:val="655D50"/>
          <w:sz w:val="24"/>
        </w:rPr>
        <w:t>Пунктом 3.1 договора предусмотрено, что датой начала работ считается дата поступления денежных средств на расчетный счет исполнителя согласно пункту 1.5 договора.</w:t>
      </w:r>
    </w:p>
    <w:p>
      <w:pPr>
        <w:widowControl/>
        <w:spacing w:after="280" w:line="312" w:lineRule="auto"/>
        <w:ind w:firstLine="567"/>
        <w:jc w:val="both"/>
      </w:pPr>
      <w:r>
        <w:rPr>
          <w:rFonts w:ascii="Inter" w:hAnsi="Inter"/>
          <w:color w:val="655D50"/>
          <w:sz w:val="24"/>
        </w:rPr>
        <w:t>Стороны согласовали техническое задание (ТЗ), в котором отразили перечень работ, выполняемых исполнителем на своей территории, и перечень работ, выполняемых на территории заказчика; ориентировочный перечень оборудования установок СТП (приложение № 1 к договору).</w:t>
      </w:r>
    </w:p>
    <w:p>
      <w:pPr>
        <w:widowControl/>
        <w:spacing w:after="280" w:line="312" w:lineRule="auto"/>
        <w:ind w:firstLine="567"/>
        <w:jc w:val="both"/>
      </w:pPr>
      <w:r>
        <w:rPr>
          <w:rFonts w:ascii="Inter" w:hAnsi="Inter"/>
          <w:color w:val="655D50"/>
          <w:sz w:val="24"/>
        </w:rPr>
        <w:t>В календарном плане работ указаны сроки выполнения пусконаладочных работ и изготовления электрооборудования по каждой установке.</w:t>
      </w:r>
    </w:p>
    <w:p>
      <w:pPr>
        <w:widowControl/>
        <w:spacing w:after="280" w:line="312" w:lineRule="auto"/>
        <w:ind w:firstLine="567"/>
        <w:jc w:val="both"/>
      </w:pPr>
      <w:r>
        <w:rPr>
          <w:rFonts w:ascii="Inter" w:hAnsi="Inter"/>
          <w:color w:val="655D50"/>
          <w:sz w:val="24"/>
        </w:rPr>
        <w:t>Судами установлено и подтверждается материалами дела, что заказчик произвел оплату исполнителю в общей сумме 202 748 228 руб. 10 коп.</w:t>
      </w:r>
    </w:p>
    <w:p>
      <w:pPr>
        <w:widowControl/>
        <w:spacing w:after="280" w:line="312" w:lineRule="auto"/>
        <w:ind w:firstLine="567"/>
        <w:jc w:val="both"/>
      </w:pPr>
      <w:r>
        <w:rPr>
          <w:rFonts w:ascii="Inter" w:hAnsi="Inter"/>
          <w:color w:val="655D50"/>
          <w:sz w:val="24"/>
        </w:rPr>
        <w:t>Предприятие, ссылаясь на неисполнение Обществом взятых на себя обязательств, 11 июля 2022 г. направило ему претензию, в которой сообщило о намерении обратиться в суд с иском о расторжении договора, а также потребовало возвратить выплаченный аванс.</w:t>
      </w:r>
    </w:p>
    <w:p>
      <w:pPr>
        <w:widowControl/>
        <w:spacing w:after="280" w:line="312" w:lineRule="auto"/>
        <w:ind w:firstLine="567"/>
        <w:jc w:val="both"/>
      </w:pPr>
      <w:r>
        <w:rPr>
          <w:rFonts w:ascii="Inter" w:hAnsi="Inter"/>
          <w:color w:val="655D50"/>
          <w:sz w:val="24"/>
        </w:rPr>
        <w:t>В ответе на претензию Общество указало на то, что в рамках исполнения договора им было отгружено и принято заказчиком оборудование общей стоимостью 203 395 343 руб. 13 коп.</w:t>
      </w:r>
    </w:p>
    <w:p>
      <w:pPr>
        <w:widowControl/>
        <w:spacing w:after="280" w:line="312" w:lineRule="auto"/>
        <w:ind w:firstLine="567"/>
        <w:jc w:val="both"/>
      </w:pPr>
      <w:r>
        <w:rPr>
          <w:rFonts w:ascii="Inter" w:hAnsi="Inter"/>
          <w:color w:val="655D50"/>
          <w:sz w:val="24"/>
        </w:rPr>
        <w:t>Предприятие, ссылаясь на необоснованное уклонение Общества от выполнения обязательств, обратилось в суд с настоящим иском.</w:t>
      </w:r>
    </w:p>
    <w:p>
      <w:pPr>
        <w:widowControl/>
        <w:spacing w:after="280" w:line="312" w:lineRule="auto"/>
        <w:ind w:firstLine="567"/>
        <w:jc w:val="both"/>
      </w:pPr>
      <w:r>
        <w:rPr>
          <w:rFonts w:ascii="Inter" w:hAnsi="Inter"/>
          <w:color w:val="655D50"/>
          <w:sz w:val="24"/>
        </w:rPr>
        <w:t>Общество предъявило встречный иск.</w:t>
      </w:r>
    </w:p>
    <w:p>
      <w:pPr>
        <w:widowControl/>
        <w:spacing w:after="280" w:line="312" w:lineRule="auto"/>
        <w:ind w:firstLine="567"/>
        <w:jc w:val="both"/>
      </w:pPr>
      <w:r>
        <w:rPr>
          <w:rFonts w:ascii="Inter" w:hAnsi="Inter"/>
          <w:color w:val="655D50"/>
          <w:sz w:val="24"/>
        </w:rPr>
        <w:t>Суд первой инстанции, установив, что в согласованные договором сроки работы исполнителем не были завершены, признал обоснованным отказ заказчика от исполнения договора на основании пункта 2 статьи 715 Гражданского кодекса Российской Федерации (далее - Гражданский кодекс), а договор расторгнутым с 25 июля 2022 г.</w:t>
      </w:r>
    </w:p>
    <w:p>
      <w:pPr>
        <w:widowControl/>
        <w:spacing w:after="280" w:line="312" w:lineRule="auto"/>
        <w:ind w:firstLine="567"/>
        <w:jc w:val="both"/>
      </w:pPr>
      <w:r>
        <w:rPr>
          <w:rFonts w:ascii="Inter" w:hAnsi="Inter"/>
          <w:color w:val="655D50"/>
          <w:sz w:val="24"/>
        </w:rPr>
        <w:t>Кроме того, с учетом результатов судебной экспертизы, ссылаясь на отсутствие актов выполненных работ с видами и объемами работ, сведений о стоимости выполненных исполнителем работ, с указанием видов, объемов и стоимости использованных материалов, оборудования, суд взыскал с Общества 128 969 959 руб. 86 коп. неосвоенной суммы предоплаты за вычетом рыночной стоимости установленных на УСТП-1, УСТП-2, УСТП-3 оборудования и комплектующих.</w:t>
      </w:r>
    </w:p>
    <w:p>
      <w:pPr>
        <w:widowControl/>
        <w:spacing w:after="280" w:line="312" w:lineRule="auto"/>
        <w:ind w:firstLine="567"/>
        <w:jc w:val="both"/>
      </w:pPr>
      <w:r>
        <w:rPr>
          <w:rFonts w:ascii="Inter" w:hAnsi="Inter"/>
          <w:color w:val="655D50"/>
          <w:sz w:val="24"/>
        </w:rPr>
        <w:t>Суд первой инстанции отказал во встречном иске, посчитав недоказанным выполнение исполнителем по установке № 1 всего комплекса работ.</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w:t>
      </w:r>
    </w:p>
    <w:p>
      <w:pPr>
        <w:widowControl/>
        <w:spacing w:after="280" w:line="312" w:lineRule="auto"/>
        <w:ind w:firstLine="567"/>
        <w:jc w:val="both"/>
      </w:pPr>
      <w:r>
        <w:rPr>
          <w:rFonts w:ascii="Inter" w:hAnsi="Inter"/>
          <w:color w:val="655D50"/>
          <w:sz w:val="24"/>
        </w:rPr>
        <w:t>Между тем суды, разрешая спор, не учли следующего.</w:t>
      </w:r>
    </w:p>
    <w:p>
      <w:pPr>
        <w:widowControl/>
        <w:spacing w:after="280" w:line="312" w:lineRule="auto"/>
        <w:ind w:firstLine="567"/>
        <w:jc w:val="both"/>
      </w:pPr>
      <w:r>
        <w:rPr>
          <w:rFonts w:ascii="Inter" w:hAnsi="Inter"/>
          <w:color w:val="655D50"/>
          <w:sz w:val="24"/>
        </w:rPr>
        <w:t>В соответствии с положениями статей 702, 708, 709 и 711 Гражданского кодекса обязательственное правоотношение по договору подряда состоит из встречных обязательств, определяющих тип этого договора: обязательства подрядчика выполнить работы надлежащего качества в согласованные сроки и обязательства заказчика уплатить обусловленную договором цену в порядке, предусмотренном сделкой (статья 328 Гражданского кодекса).</w:t>
      </w:r>
    </w:p>
    <w:p>
      <w:pPr>
        <w:widowControl/>
        <w:spacing w:after="280" w:line="312" w:lineRule="auto"/>
        <w:ind w:firstLine="567"/>
        <w:jc w:val="both"/>
      </w:pPr>
      <w:r>
        <w:rPr>
          <w:rFonts w:ascii="Inter" w:hAnsi="Inter"/>
          <w:color w:val="655D50"/>
          <w:sz w:val="24"/>
        </w:rPr>
        <w:t>Из встречного характера обязательств сторон по договору подряда и положений пунктов 1, 3 статьи 328 Гражданского кодекса следует, что в случае ненадлежащего исполнения принятого подрядчиком основного обязательства им не может быть получена та сумма, на которую он мог рассчитывать, если бы исполнил это обязательство должным образом (в том числе с соблюдением установленных сроков).</w:t>
      </w:r>
    </w:p>
    <w:p>
      <w:pPr>
        <w:widowControl/>
        <w:spacing w:after="280" w:line="312" w:lineRule="auto"/>
        <w:ind w:firstLine="567"/>
        <w:jc w:val="both"/>
      </w:pPr>
      <w:r>
        <w:rPr>
          <w:rFonts w:ascii="Inter" w:hAnsi="Inter"/>
          <w:color w:val="655D50"/>
          <w:sz w:val="24"/>
        </w:rPr>
        <w:t>В силу пункта 1 статьи 450.1 Гражданского кодекса предоставленное данным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уведомления, если иное не предусмотрено данным Кодексом, другими законами, иными правовыми актами или договором.</w:t>
      </w:r>
    </w:p>
    <w:p>
      <w:pPr>
        <w:widowControl/>
        <w:spacing w:after="280" w:line="312" w:lineRule="auto"/>
        <w:ind w:firstLine="567"/>
        <w:jc w:val="both"/>
      </w:pPr>
      <w:r>
        <w:rPr>
          <w:rFonts w:ascii="Inter" w:hAnsi="Inter"/>
          <w:color w:val="655D50"/>
          <w:sz w:val="24"/>
        </w:rPr>
        <w:t>Суд первой инстанции расценил направленную истцом 11 июля 2022 г. претензию как отказ заказчика от договора и признал договор расторгнутым с даты поступления иска в суд.</w:t>
      </w:r>
    </w:p>
    <w:p>
      <w:pPr>
        <w:widowControl/>
        <w:spacing w:after="280" w:line="312" w:lineRule="auto"/>
        <w:ind w:firstLine="567"/>
        <w:jc w:val="both"/>
      </w:pPr>
      <w:r>
        <w:rPr>
          <w:rFonts w:ascii="Inter" w:hAnsi="Inter"/>
          <w:color w:val="655D50"/>
          <w:sz w:val="24"/>
        </w:rPr>
        <w:t>Как следует из содержания договора, сторонами при его заключении не были согласованы условия об основаниях и порядке прекращения договорных отношений.</w:t>
      </w:r>
    </w:p>
    <w:p>
      <w:pPr>
        <w:widowControl/>
        <w:spacing w:after="280" w:line="312" w:lineRule="auto"/>
        <w:ind w:firstLine="567"/>
        <w:jc w:val="both"/>
      </w:pPr>
      <w:r>
        <w:rPr>
          <w:rFonts w:ascii="Inter" w:hAnsi="Inter"/>
          <w:color w:val="655D50"/>
          <w:sz w:val="24"/>
        </w:rPr>
        <w:t>Правовое основание досрочного прекращения договора через механизм одностороннего отказа от его исполнения, вывод о котором должен быть сделан судом на основании исследования и оценки совокупности доказательств по делу, имеет принципиальное значение для определения объема взаимных обязанностей сторон в ликвидационной стадии обязательства.</w:t>
      </w:r>
    </w:p>
    <w:p>
      <w:pPr>
        <w:widowControl/>
        <w:spacing w:after="280" w:line="312" w:lineRule="auto"/>
        <w:ind w:firstLine="567"/>
        <w:jc w:val="both"/>
      </w:pPr>
      <w:r>
        <w:rPr>
          <w:rFonts w:ascii="Inter" w:hAnsi="Inter"/>
          <w:color w:val="655D50"/>
          <w:sz w:val="24"/>
        </w:rPr>
        <w:t>Статьями 715, 717 Гражданского кодекса установлены различные основания и последствия одностороннего отказа заказчика от договора.</w:t>
      </w:r>
    </w:p>
    <w:p>
      <w:pPr>
        <w:widowControl/>
        <w:spacing w:after="280" w:line="312" w:lineRule="auto"/>
        <w:ind w:firstLine="567"/>
        <w:jc w:val="both"/>
      </w:pPr>
      <w:r>
        <w:rPr>
          <w:rFonts w:ascii="Inter" w:hAnsi="Inter"/>
          <w:color w:val="655D50"/>
          <w:sz w:val="24"/>
        </w:rPr>
        <w:t>В силу пункта 2 статьи 715 Гражданского кодекса,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pPr>
        <w:widowControl/>
        <w:spacing w:after="280" w:line="312" w:lineRule="auto"/>
        <w:ind w:firstLine="567"/>
        <w:jc w:val="both"/>
      </w:pPr>
      <w:r>
        <w:rPr>
          <w:rFonts w:ascii="Inter" w:hAnsi="Inter"/>
          <w:color w:val="655D50"/>
          <w:sz w:val="24"/>
        </w:rPr>
        <w:t>При этом расторжение заказчиком договора на этом основании не освобождает его от оплаты работ, фактически выполненных подрядчиком до даты расторжения договора.</w:t>
      </w:r>
    </w:p>
    <w:p>
      <w:pPr>
        <w:widowControl/>
        <w:spacing w:after="280" w:line="312" w:lineRule="auto"/>
        <w:ind w:firstLine="567"/>
        <w:jc w:val="both"/>
      </w:pPr>
      <w:r>
        <w:rPr>
          <w:rFonts w:ascii="Inter" w:hAnsi="Inter"/>
          <w:color w:val="655D50"/>
          <w:sz w:val="24"/>
        </w:rPr>
        <w:t>В соответствии со статьей 717 Гражданского кодекса, 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pPr>
        <w:widowControl/>
        <w:spacing w:after="280" w:line="312" w:lineRule="auto"/>
        <w:ind w:firstLine="567"/>
        <w:jc w:val="both"/>
      </w:pPr>
      <w:r>
        <w:rPr>
          <w:rFonts w:ascii="Inter" w:hAnsi="Inter"/>
          <w:color w:val="655D50"/>
          <w:sz w:val="24"/>
        </w:rPr>
        <w:t>В пункте 14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указано, что при осуществлении стороной права на одностороннее изменение условий обязательства или односторонний отказ от его исполнения она должна действовать разумно и добросовестно, учитывая права и законные интересы другой стороны (пункт 3 статьи 307, пункт 4 статьи 450.1 Гражданского кодекса).</w:t>
      </w:r>
    </w:p>
    <w:p>
      <w:pPr>
        <w:widowControl/>
        <w:spacing w:after="280" w:line="312" w:lineRule="auto"/>
        <w:ind w:firstLine="567"/>
        <w:jc w:val="both"/>
      </w:pPr>
      <w:r>
        <w:rPr>
          <w:rFonts w:ascii="Inter" w:hAnsi="Inter"/>
          <w:color w:val="655D50"/>
          <w:sz w:val="24"/>
        </w:rPr>
        <w:t>Пунктом 1.3 договора стороны предусмотрели право заказчика ходатайствовать о внесении дополнений в ТЗ с учетом возможности их реализации исполнителем, которые не увеличивают его затраты.</w:t>
      </w:r>
    </w:p>
    <w:p>
      <w:pPr>
        <w:widowControl/>
        <w:spacing w:after="280" w:line="312" w:lineRule="auto"/>
        <w:ind w:firstLine="567"/>
        <w:jc w:val="both"/>
      </w:pPr>
      <w:r>
        <w:rPr>
          <w:rFonts w:ascii="Inter" w:hAnsi="Inter"/>
          <w:color w:val="655D50"/>
          <w:sz w:val="24"/>
        </w:rPr>
        <w:t>Как следует из материалов дела, дополнительными соглашениями от 7 апреля 2020 г. № 1, от 10 июля 2020 г. № 2, от 4 сентября 2020 г. № 3, от 30 августа 2021 г. № 4, 5 стороны внесли изменения в условия договора, техническое задание по всем установкам; согласовали сроки изготовления электрооборудования и выполнения пусконаладочных работ, перечень, сроки поставки дополнительного оборудования, не предусмотренного ТЗ.</w:t>
      </w:r>
    </w:p>
    <w:p>
      <w:pPr>
        <w:widowControl/>
        <w:spacing w:after="280" w:line="312" w:lineRule="auto"/>
        <w:ind w:firstLine="567"/>
        <w:jc w:val="both"/>
      </w:pPr>
      <w:r>
        <w:rPr>
          <w:rFonts w:ascii="Inter" w:hAnsi="Inter"/>
          <w:color w:val="655D50"/>
          <w:sz w:val="24"/>
        </w:rPr>
        <w:t>В ходе рассмотрения дела Общество последовательно приводило доводы о невозможности выполнения работ в предусмотренные договором сроки ввиду неоднократного изменения дополнительными соглашениями условий договора, о возникновении просрочки по обстоятельствам, от него не зависящим, в том числе по причине отсутствия авансирования, неисполнения заказчиком встречных обязательств.</w:t>
      </w:r>
    </w:p>
    <w:p>
      <w:pPr>
        <w:widowControl/>
        <w:spacing w:after="280" w:line="312" w:lineRule="auto"/>
        <w:ind w:firstLine="567"/>
        <w:jc w:val="both"/>
      </w:pPr>
      <w:r>
        <w:rPr>
          <w:rFonts w:ascii="Inter" w:hAnsi="Inter"/>
          <w:color w:val="655D50"/>
          <w:sz w:val="24"/>
        </w:rPr>
        <w:t>Согласно пункту 7 статьи 71, пункту 2 части 4 статьи 170 АПК РФ результаты оценки доказательств суд отражает в судебном акте, содержащем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pPr>
        <w:widowControl/>
        <w:spacing w:after="280" w:line="312" w:lineRule="auto"/>
        <w:ind w:firstLine="567"/>
        <w:jc w:val="both"/>
      </w:pPr>
      <w:r>
        <w:rPr>
          <w:rFonts w:ascii="Inter" w:hAnsi="Inter"/>
          <w:color w:val="655D50"/>
          <w:sz w:val="24"/>
        </w:rPr>
        <w:t>Однако суд первой инстанции, выводы которого поддержали суды апелляционной и кассационной инстанций, считая обоснованным отказ заказчика от исполнения договора на основании пункта 2 статьи 715 Гражданского кодекса, не исследовал надлежащим образом приведенные выше доводы ответчика, не дал им содержательной оценки с учетом изменения объема обязательств исполнителя, согласования сторонами новых сроков изготовления, поставки оборудования и выполнения работ.</w:t>
      </w:r>
    </w:p>
    <w:p>
      <w:pPr>
        <w:widowControl/>
        <w:spacing w:after="280" w:line="312" w:lineRule="auto"/>
        <w:ind w:firstLine="567"/>
        <w:jc w:val="both"/>
      </w:pPr>
      <w:r>
        <w:rPr>
          <w:rFonts w:ascii="Inter" w:hAnsi="Inter"/>
          <w:color w:val="655D50"/>
          <w:sz w:val="24"/>
        </w:rPr>
        <w:t>Суды не оценили в должной мере условия дополнительных соглашений, всю совокупность представленных в дело доказательств в целях разрешения вопроса о причинах, приведших к несоблюдению исполнителем срока выполнения работ, тогда как исследование обстоятельств, связанных с основанием отказа заказчика от договора, являлось существенным для правильного разрешения спора.</w:t>
      </w:r>
    </w:p>
    <w:p>
      <w:pPr>
        <w:widowControl/>
        <w:spacing w:after="280" w:line="312" w:lineRule="auto"/>
        <w:ind w:firstLine="567"/>
        <w:jc w:val="both"/>
      </w:pPr>
      <w:r>
        <w:rPr>
          <w:rFonts w:ascii="Inter" w:hAnsi="Inter"/>
          <w:color w:val="655D50"/>
          <w:sz w:val="24"/>
        </w:rPr>
        <w:t>Таким образом, вывод судов о признании договора расторгнутым в соответствии с пунктом 2 статьи 715 Гражданского кодекса ввиду нарушения сроков выполнения работ исполнителем не основан на объективной, полной и всесторонней оценке имеющихся в материалах дела доказательств, в связи с чем является неправомерным.</w:t>
      </w:r>
    </w:p>
    <w:p>
      <w:pPr>
        <w:widowControl/>
        <w:spacing w:after="280" w:line="312" w:lineRule="auto"/>
        <w:ind w:firstLine="567"/>
        <w:jc w:val="both"/>
      </w:pPr>
      <w:r>
        <w:rPr>
          <w:rFonts w:ascii="Inter" w:hAnsi="Inter"/>
          <w:color w:val="655D50"/>
          <w:sz w:val="24"/>
        </w:rPr>
        <w:t>По смыслу норм статей 453, 1102 Гражданского кодекса, если у сторон отсутствуют намерения продолжать исполнение договора, вне зависимости от оснований расторжения договора ликвидационная стадия обязательства должна окончиться приведением сторон в такое положение, в котором ни одна из них не могла бы считаться извлекшей необоснованные преимущества из исполнения и расторжения договора.</w:t>
      </w:r>
    </w:p>
    <w:p>
      <w:pPr>
        <w:widowControl/>
        <w:spacing w:after="280" w:line="312" w:lineRule="auto"/>
        <w:ind w:firstLine="567"/>
        <w:jc w:val="both"/>
      </w:pPr>
      <w:r>
        <w:rPr>
          <w:rFonts w:ascii="Inter" w:hAnsi="Inter"/>
          <w:color w:val="655D50"/>
          <w:sz w:val="24"/>
        </w:rPr>
        <w:t>Как следует из пункта 1 статьи 424 Гражданского кодекса, исполнение договора оплачивается по цене, установленной соглашением сторон, если закон не предусматривает применения цен (тарифов), устанавливаемых или регулируемых уполномоченными на то государственными органами.</w:t>
      </w:r>
    </w:p>
    <w:p>
      <w:pPr>
        <w:widowControl/>
        <w:spacing w:after="280" w:line="312" w:lineRule="auto"/>
        <w:ind w:firstLine="567"/>
        <w:jc w:val="both"/>
      </w:pPr>
      <w:r>
        <w:rPr>
          <w:rFonts w:ascii="Inter" w:hAnsi="Inter"/>
          <w:color w:val="655D50"/>
          <w:sz w:val="24"/>
        </w:rPr>
        <w:t>Согласно пункту 2 указанной статьи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pPr>
        <w:widowControl/>
        <w:spacing w:after="280" w:line="312" w:lineRule="auto"/>
        <w:ind w:firstLine="567"/>
        <w:jc w:val="both"/>
      </w:pPr>
      <w:r>
        <w:rPr>
          <w:rFonts w:ascii="Inter" w:hAnsi="Inter"/>
          <w:color w:val="655D50"/>
          <w:sz w:val="24"/>
        </w:rPr>
        <w:t>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 (пункт 3 статьи 424 Гражданского кодекса).</w:t>
      </w:r>
    </w:p>
    <w:p>
      <w:pPr>
        <w:widowControl/>
        <w:spacing w:after="280" w:line="312" w:lineRule="auto"/>
        <w:ind w:firstLine="567"/>
        <w:jc w:val="both"/>
      </w:pPr>
      <w:r>
        <w:rPr>
          <w:rFonts w:ascii="Inter" w:hAnsi="Inter"/>
          <w:color w:val="655D50"/>
          <w:sz w:val="24"/>
        </w:rPr>
        <w:t>В силу пунктов 1, 2 статьи 709 Гражданского кодекса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по правилам пункта 3 статьи 424 Гражданского кодекса. Цена в договоре подряда включает компенсацию издержек подрядчика и причитающееся ему вознаграждение.</w:t>
      </w:r>
    </w:p>
    <w:p>
      <w:pPr>
        <w:widowControl/>
        <w:spacing w:after="280" w:line="312" w:lineRule="auto"/>
        <w:ind w:firstLine="567"/>
        <w:jc w:val="both"/>
      </w:pPr>
      <w:r>
        <w:rPr>
          <w:rFonts w:ascii="Inter" w:hAnsi="Inter"/>
          <w:color w:val="655D50"/>
          <w:sz w:val="24"/>
        </w:rPr>
        <w:t>В соответствии с пунктом 4 статьи 709 Гражданского кодекса при отсутствии других указаний в договоре подряда цена работы считается твердой. Именно эту сумму и должен получить подрядчик за выполненные работы.</w:t>
      </w:r>
    </w:p>
    <w:p>
      <w:pPr>
        <w:widowControl/>
        <w:spacing w:after="280" w:line="312" w:lineRule="auto"/>
        <w:ind w:firstLine="567"/>
        <w:jc w:val="both"/>
      </w:pPr>
      <w:r>
        <w:rPr>
          <w:rFonts w:ascii="Inter" w:hAnsi="Inter"/>
          <w:color w:val="655D50"/>
          <w:sz w:val="24"/>
        </w:rPr>
        <w:t>Подрядчик вправе требовать увеличения установленной цены при существенном возрастании стоимости предоставленных им материалов и оборудования, которые нельзя было предусмотреть при заключении договора (пункт 6 статьи 709 Гражданского кодекса).</w:t>
      </w:r>
    </w:p>
    <w:p>
      <w:pPr>
        <w:widowControl/>
        <w:spacing w:after="280" w:line="312" w:lineRule="auto"/>
        <w:ind w:firstLine="567"/>
        <w:jc w:val="both"/>
      </w:pPr>
      <w:r>
        <w:rPr>
          <w:rFonts w:ascii="Inter" w:hAnsi="Inter"/>
          <w:color w:val="655D50"/>
          <w:sz w:val="24"/>
        </w:rPr>
        <w:t>Стороны, заключая договор, определили общую стоимость работ в размере 157 200 000 руб. с НДС 20% согласно ТЗ и указали, что она может изменяться по письменному согласованию сторон (пункт 2.1 договора).</w:t>
      </w:r>
    </w:p>
    <w:p>
      <w:pPr>
        <w:widowControl/>
        <w:spacing w:after="280" w:line="312" w:lineRule="auto"/>
        <w:ind w:firstLine="567"/>
        <w:jc w:val="both"/>
      </w:pPr>
      <w:r>
        <w:rPr>
          <w:rFonts w:ascii="Inter" w:hAnsi="Inter"/>
          <w:color w:val="655D50"/>
          <w:sz w:val="24"/>
        </w:rPr>
        <w:t>В пункте 1.3 договора стороны прямо предусмотрели, что в случае внесения заказчиком дополнений в ТЗ, увеличивающих общую стоимость договора, подобные изменения регламентируются дополнительными соглашениями.</w:t>
      </w:r>
    </w:p>
    <w:p>
      <w:pPr>
        <w:widowControl/>
        <w:spacing w:after="280" w:line="312" w:lineRule="auto"/>
        <w:ind w:firstLine="567"/>
        <w:jc w:val="both"/>
      </w:pPr>
      <w:r>
        <w:rPr>
          <w:rFonts w:ascii="Inter" w:hAnsi="Inter"/>
          <w:color w:val="655D50"/>
          <w:sz w:val="24"/>
        </w:rPr>
        <w:t>Из материалов дела следует, что дополнительным соглашением № 1 стороны изменили ТЗ в отношении установки № 1, согласовали перечень дополнительного оборудования, не предусмотренного ТЗ, дополнительную оплату исполнителю в размере 35 838 000 руб. с НДС 20%; дополнительным соглашением № 2 стороны согласовали дополнительное оборудование, не предусмотренное ТЗ, стоимостью 75 084 евро с НДС 20%, изменив ТЗ; дополнительным соглашением № 3 - дополнительное оборудование и дополнительную оплату исполнителю в размере 422 280 евро с НДС 20%, изменив ТЗ; дополнительным соглашением № 4 изменили ТЗ, установили полную стоимость работ и оборудования в отношении установки № 2 в размере 104 000 000 руб. с НДС 20%, порядок и сроки оплаты работ; дополнительным соглашением № 5 стороны изменили ТЗ в отношении установки № 3, определили полную стоимость работ и оборудования в отношении данной установки в размере 85 435 000 руб. с НДС 20%.</w:t>
      </w:r>
    </w:p>
    <w:p>
      <w:pPr>
        <w:widowControl/>
        <w:spacing w:after="280" w:line="312" w:lineRule="auto"/>
        <w:ind w:firstLine="567"/>
        <w:jc w:val="both"/>
      </w:pPr>
      <w:r>
        <w:rPr>
          <w:rFonts w:ascii="Inter" w:hAnsi="Inter"/>
          <w:color w:val="655D50"/>
          <w:sz w:val="24"/>
        </w:rPr>
        <w:t>При заключении договора стороны определили в твердом размере общую стоимость работ, а в связи с изменением ТЗ установили дополнительными соглашениями полную стоимость работ и оборудования.</w:t>
      </w:r>
    </w:p>
    <w:p>
      <w:pPr>
        <w:widowControl/>
        <w:spacing w:after="280" w:line="312" w:lineRule="auto"/>
        <w:ind w:firstLine="567"/>
        <w:jc w:val="both"/>
      </w:pPr>
      <w:r>
        <w:rPr>
          <w:rFonts w:ascii="Inter" w:hAnsi="Inter"/>
          <w:color w:val="655D50"/>
          <w:sz w:val="24"/>
        </w:rPr>
        <w:t>В силу статьи 703 Гражданского кодекса договор подряда заключается на изготовление вещи либо на выполнение другой работы с передачей ее результата заказчику.</w:t>
      </w:r>
    </w:p>
    <w:p>
      <w:pPr>
        <w:widowControl/>
        <w:spacing w:after="280" w:line="312" w:lineRule="auto"/>
        <w:ind w:firstLine="567"/>
        <w:jc w:val="both"/>
      </w:pPr>
      <w:r>
        <w:rPr>
          <w:rFonts w:ascii="Inter" w:hAnsi="Inter"/>
          <w:color w:val="655D50"/>
          <w:sz w:val="24"/>
        </w:rPr>
        <w:t>Таким образом, договор подряда направлен на совершение фактических действий, призванных непосредственно обеспечить определенный материальный результат.</w:t>
      </w:r>
    </w:p>
    <w:p>
      <w:pPr>
        <w:widowControl/>
        <w:spacing w:after="280" w:line="312" w:lineRule="auto"/>
        <w:ind w:firstLine="567"/>
        <w:jc w:val="both"/>
      </w:pPr>
      <w:r>
        <w:rPr>
          <w:rFonts w:ascii="Inter" w:hAnsi="Inter"/>
          <w:color w:val="655D50"/>
          <w:sz w:val="24"/>
        </w:rPr>
        <w:t>В соответствии с предметом договора исполнитель обязался изготовить, поставить оборудование и комплектующие для оснащения трех установок, осуществить монтаж и пусконаладочные работы, которые заказчик обязался принять и оплатить (пункты 1.1, 1.4 договора).</w:t>
      </w:r>
    </w:p>
    <w:p>
      <w:pPr>
        <w:widowControl/>
        <w:spacing w:after="280" w:line="312" w:lineRule="auto"/>
        <w:ind w:firstLine="567"/>
        <w:jc w:val="both"/>
      </w:pPr>
      <w:r>
        <w:rPr>
          <w:rFonts w:ascii="Inter" w:hAnsi="Inter"/>
          <w:color w:val="655D50"/>
          <w:sz w:val="24"/>
        </w:rPr>
        <w:t>Общество при рассмотрении дела заявляло о том, что им во исполнение договора и дополнительных соглашений в период с 30 июня 2020 г. по 2 июня 2021 г. была осуществлена отгрузка оборудования, принятого заказчиком без замечаний относительно комплектности и качества, на сумму, превышающую полученный аванс.</w:t>
      </w:r>
    </w:p>
    <w:p>
      <w:pPr>
        <w:widowControl/>
        <w:spacing w:after="280" w:line="312" w:lineRule="auto"/>
        <w:ind w:firstLine="567"/>
        <w:jc w:val="both"/>
      </w:pPr>
      <w:r>
        <w:rPr>
          <w:rFonts w:ascii="Inter" w:hAnsi="Inter"/>
          <w:color w:val="655D50"/>
          <w:sz w:val="24"/>
        </w:rPr>
        <w:t>Суды, взыскивая с Общества 128 969 959 руб. 86 коп. неосновательного обогащения, исходили не из согласованной в дополнительных соглашениях стоимости оборудования, а из рыночной стоимости установленных на УСТП-1, УСТП-2, УСТП-3 оборудования и комплектующих в размере 73 778 268 руб. 24 коп., которая при этом была определена экспертами не на дату их приобретения, а на дату проведения осмотра.</w:t>
      </w:r>
    </w:p>
    <w:p>
      <w:pPr>
        <w:widowControl/>
        <w:spacing w:after="280" w:line="312" w:lineRule="auto"/>
        <w:ind w:firstLine="567"/>
        <w:jc w:val="both"/>
      </w:pPr>
      <w:r>
        <w:rPr>
          <w:rFonts w:ascii="Inter" w:hAnsi="Inter"/>
          <w:color w:val="655D50"/>
          <w:sz w:val="24"/>
        </w:rPr>
        <w:t>Тем самым суды вопреки положениям статьи 424 Гражданского кодекса не учли согласованные сторонами условия о стоимости оборудования, перечень которого приведен в соответствующих дополнительных соглашениях.</w:t>
      </w:r>
    </w:p>
    <w:p>
      <w:pPr>
        <w:widowControl/>
        <w:spacing w:after="280" w:line="312" w:lineRule="auto"/>
        <w:ind w:firstLine="567"/>
        <w:jc w:val="both"/>
      </w:pPr>
      <w:r>
        <w:rPr>
          <w:rFonts w:ascii="Inter" w:hAnsi="Inter"/>
          <w:color w:val="655D50"/>
          <w:sz w:val="24"/>
        </w:rPr>
        <w:t>Кроме того, при установлении объема предоставленного исполнителем встречного исполнения суды ограничились лишь ссылкой на заключение экспертизы, не сопоставив выводы экспертов с объективными данными и условиями договора в редакции дополнительных соглашений относительно фиксированной стоимости работ и оборудования, порядка оплаты работ; суды учли только стоимость (рыночную) поставленного оборудования и комплектующих, не выделив стоимость выполненных работ.</w:t>
      </w:r>
    </w:p>
    <w:p>
      <w:pPr>
        <w:widowControl/>
        <w:spacing w:after="280" w:line="312" w:lineRule="auto"/>
        <w:ind w:firstLine="567"/>
        <w:jc w:val="both"/>
      </w:pPr>
      <w:r>
        <w:rPr>
          <w:rFonts w:ascii="Inter" w:hAnsi="Inter"/>
          <w:color w:val="655D50"/>
          <w:sz w:val="24"/>
        </w:rPr>
        <w:t>Так, отказывая во встречном иске, суды исходили из отсутствия доказательств выполнения всего комплекса работ по установке № 1, не указав, какая именно часть работ по данной установке не была произведена исполнителем и какова стоимость этой невыполненной части работ.</w:t>
      </w:r>
    </w:p>
    <w:p>
      <w:pPr>
        <w:widowControl/>
        <w:spacing w:after="280" w:line="312" w:lineRule="auto"/>
        <w:ind w:firstLine="567"/>
        <w:jc w:val="both"/>
      </w:pPr>
      <w:r>
        <w:rPr>
          <w:rFonts w:ascii="Inter" w:hAnsi="Inter"/>
          <w:color w:val="655D50"/>
          <w:sz w:val="24"/>
        </w:rPr>
        <w:t>Между тем актом сдачи-приемки выполненных работ от 3 августа 2020 г., подписанным заказчиком без замечаний, подтверждено, что исполнителем выполнено 100% объема работ по установке № 1 согласно ТЗ и дополнительному соглашению от 7 апреля 2020 г. № 1.</w:t>
      </w:r>
    </w:p>
    <w:p>
      <w:pPr>
        <w:widowControl/>
        <w:spacing w:after="280" w:line="312" w:lineRule="auto"/>
        <w:ind w:firstLine="567"/>
        <w:jc w:val="both"/>
      </w:pPr>
      <w:r>
        <w:rPr>
          <w:rFonts w:ascii="Inter" w:hAnsi="Inter"/>
          <w:color w:val="655D50"/>
          <w:sz w:val="24"/>
        </w:rPr>
        <w:t>Пунктом 2.2 договора установлено, что оплата по договору производится следующим образом: 50% от стоимости работ в течение 5 дней с момента подписания договора; 20% - по факту отгрузки и подписания акта приемки-передачи оборудования; 30% - с даты окончания работ и подписания сторонами актов выполненных работ.</w:t>
      </w:r>
    </w:p>
    <w:p>
      <w:pPr>
        <w:widowControl/>
        <w:spacing w:after="280" w:line="312" w:lineRule="auto"/>
        <w:ind w:firstLine="567"/>
        <w:jc w:val="both"/>
      </w:pPr>
      <w:r>
        <w:rPr>
          <w:rFonts w:ascii="Inter" w:hAnsi="Inter"/>
          <w:color w:val="655D50"/>
          <w:sz w:val="24"/>
        </w:rPr>
        <w:t>Общество указывало на то, что перечень поставленного оборудования и его стоимость подтверждаются товарными накладными, подписанными обеими сторонами, заказчиком приняты работы по монтажу и пусконаладке установки № 1, стоимость которых могла быть определена путем вычислений исходя из условий договора (в том числе с привлечением специалистов), определение рыночной стоимости работ и оборудования на момент их осмотра не соответствует условиям договора; а также не решена судьба поставленного и демонтированного оборудования.</w:t>
      </w:r>
    </w:p>
    <w:p>
      <w:pPr>
        <w:widowControl/>
        <w:spacing w:after="280" w:line="312" w:lineRule="auto"/>
        <w:ind w:firstLine="567"/>
        <w:jc w:val="both"/>
      </w:pPr>
      <w:r>
        <w:rPr>
          <w:rFonts w:ascii="Inter" w:hAnsi="Inter"/>
          <w:color w:val="655D50"/>
          <w:sz w:val="24"/>
        </w:rPr>
        <w:t>Приведенные доводы ответчика не получили надлежащей оценки.</w:t>
      </w:r>
    </w:p>
    <w:p>
      <w:pPr>
        <w:widowControl/>
        <w:spacing w:after="280" w:line="312" w:lineRule="auto"/>
        <w:ind w:firstLine="567"/>
        <w:jc w:val="both"/>
      </w:pPr>
      <w:r>
        <w:rPr>
          <w:rFonts w:ascii="Inter" w:hAnsi="Inter"/>
          <w:color w:val="655D50"/>
          <w:sz w:val="24"/>
        </w:rPr>
        <w:t>Таким образом, выводы судов об основаниях отказа заказчика от исполнения договора и объеме встречного предоставления исполнителя сделаны при неполном выяснении юридически значимых и подлежащих установлению обстоятельств, без объективной, полной и всесторонней оценки доказательств в их совокупности и взаимной связи с условиями договора в редакции дополнительных соглашений.</w:t>
      </w:r>
    </w:p>
    <w:p>
      <w:pPr>
        <w:widowControl/>
        <w:spacing w:after="280" w:line="312" w:lineRule="auto"/>
        <w:ind w:firstLine="567"/>
        <w:jc w:val="both"/>
      </w:pPr>
      <w:r>
        <w:rPr>
          <w:rFonts w:ascii="Inter" w:hAnsi="Inter"/>
          <w:color w:val="655D50"/>
          <w:sz w:val="24"/>
        </w:rPr>
        <w:t>При изложенных обстоятельствах Судебная коллегия считает, что суды допустили существенные нарушения норм материального и процессуального права, повлиявшие на исход дела и без устранения которых невозможна защита нарушенных прав и законных интересов Общества, в связи с чем принятые по делу судебные акты на основании части 1 статьи 291.11 АПК РФ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всесторонне и полно исследовать имеющиеся в деле доказательства в их совокупности;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Чувашской Республики - Чувашии от 31 октября 2024 г., постановление Первого арбитражного апелляционного суда от 3 июня 2025 г. и постановление Арбитражного суда Волго-Вятского округа от 13 августа 2025 г. по делу № А79-7047/2022 отменить.</w:t>
      </w:r>
    </w:p>
    <w:p>
      <w:pPr>
        <w:widowControl/>
        <w:spacing w:after="280" w:line="312" w:lineRule="auto"/>
        <w:ind w:firstLine="567"/>
        <w:jc w:val="both"/>
      </w:pPr>
      <w:r>
        <w:rPr>
          <w:rFonts w:ascii="Inter" w:hAnsi="Inter"/>
          <w:color w:val="655D50"/>
          <w:sz w:val="24"/>
        </w:rPr>
        <w:t>Дело № А79-7047/2022 направить на новое рассмотрение в Арбитражный суд Чувашской Республики - Чувашии.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В.В.ПОПОВ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выводы судов об основаниях отказа заказчика от исполнения договора и объеме встречного предоставления исполнителя сделаны при неполном выяснении юридически значимых обстоятельств, без объективной, полной и всесторонней оценки доказательств в их совокупности и взаимной связи с условиями договора в редакции дополнительных соглашений.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11.12.2025 № 301-ЭС25-11592 по делу № А79-7047/2022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11.12.2025 № 301-ЭС25-11592 по делу № А79-7047/2022</dc:title>
  <dc:subject/>
  <dc:creator>CasusLegal</dc:creator>
  <cp:keywords/>
  <dc:description/>
  <cp:lastModifiedBy>CasusLegal</cp:lastModifiedBy>
  <cp:revision>1</cp:revision>
  <dcterms:created xsi:type="dcterms:W3CDTF">2026-08-16T11:29:06Z</dcterms:created>
  <dcterms:modified xsi:type="dcterms:W3CDTF">2026-08-16T11:29:06Z</dcterms:modified>
  <cp:category/>
</cp:coreProperties>
</file>