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07.02.2023 № 305-ЭС22-21173 по делу № А40-201536/2021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07.02.2023</w:t>
      </w:r>
    </w:p>
    <w:p>
      <w:pPr>
        <w:spacing w:after="40"/>
      </w:pPr>
      <w:r>
        <w:rPr>
          <w:rFonts w:ascii="Inter" w:hAnsi="Inter"/>
          <w:b/>
          <w:color w:val="8B8171"/>
          <w:sz w:val="18"/>
        </w:rPr>
        <w:t xml:space="preserve">Номер дела: </w:t>
      </w:r>
      <w:r>
        <w:rPr>
          <w:rFonts w:ascii="Inter" w:hAnsi="Inter"/>
          <w:color w:val="655D50"/>
          <w:sz w:val="18"/>
        </w:rPr>
        <w:t>305-ЭС22-21173</w:t>
      </w:r>
    </w:p>
    <w:p>
      <w:pPr>
        <w:spacing w:after="40"/>
      </w:pPr>
      <w:r>
        <w:rPr>
          <w:rFonts w:ascii="Inter" w:hAnsi="Inter"/>
          <w:b/>
          <w:color w:val="8B8171"/>
          <w:sz w:val="18"/>
        </w:rPr>
        <w:t xml:space="preserve">Применённые нормы: </w:t>
      </w:r>
      <w:r>
        <w:rPr>
          <w:rFonts w:ascii="Inter" w:hAnsi="Inter"/>
          <w:color w:val="655D50"/>
          <w:sz w:val="18"/>
        </w:rPr>
        <w:t>ст. 1102 ГК РФ, ст. 1107 ГК РФ, ст. 325 ГК РФ, ст. 365 ГК РФ, ст. 375.1 ГК РФ, ст. 395 ГК РФ, ст. 9 ГК РФ, ст. 95 ФЗ</w:t>
      </w:r>
    </w:p>
    <w:p>
      <w:pPr>
        <w:spacing w:after="40"/>
      </w:pPr>
      <w:r>
        <w:rPr>
          <w:rFonts w:ascii="Inter" w:hAnsi="Inter"/>
          <w:b/>
          <w:color w:val="8B8171"/>
          <w:sz w:val="18"/>
        </w:rPr>
        <w:t xml:space="preserve">Теги: </w:t>
      </w:r>
      <w:r>
        <w:rPr>
          <w:rFonts w:ascii="Inter" w:hAnsi="Inter"/>
          <w:color w:val="655D50"/>
          <w:sz w:val="18"/>
        </w:rPr>
        <w:t>Поручительство, Независимая гарантия, Суброгация, Неосновательное обогащение, Статья 365 ГК РФ, Статья 387 ГК РФ, Статья 1102 ГК РФ</w:t>
      </w:r>
    </w:p>
    <w:p>
      <w:pPr>
        <w:widowControl/>
        <w:spacing w:after="280" w:line="312" w:lineRule="auto"/>
        <w:ind w:firstLine="567"/>
        <w:jc w:val="both"/>
      </w:pPr>
      <w:r>
        <w:rPr>
          <w:rFonts w:ascii="Inter" w:hAnsi="Inter"/>
          <w:color w:val="655D50"/>
          <w:sz w:val="24"/>
        </w:rPr>
        <w:t>По мнению поручителя, бенефициар необоснованно получил денежные средства по банковским гарантиям.</w:t>
      </w:r>
    </w:p>
    <w:p>
      <w:pPr>
        <w:widowControl/>
        <w:spacing w:after="280" w:line="312" w:lineRule="auto"/>
        <w:ind w:firstLine="567"/>
        <w:jc w:val="both"/>
      </w:pPr>
      <w:r>
        <w:rPr>
          <w:rFonts w:ascii="Inter" w:hAnsi="Inter"/>
          <w:color w:val="655D50"/>
          <w:sz w:val="24"/>
        </w:rPr>
        <w:t>Резолютивная часть определения объявлена 01.02.2023.</w:t>
      </w:r>
    </w:p>
    <w:p>
      <w:pPr>
        <w:widowControl/>
        <w:spacing w:after="280" w:line="312" w:lineRule="auto"/>
        <w:ind w:firstLine="567"/>
        <w:jc w:val="both"/>
      </w:pPr>
      <w:r>
        <w:rPr>
          <w:rFonts w:ascii="Inter" w:hAnsi="Inter"/>
          <w:color w:val="655D50"/>
          <w:sz w:val="24"/>
        </w:rPr>
        <w:t>Полный текст определения изготовлен 07.02.2023.</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Иваненко Ю.Г.,</w:t>
      </w:r>
    </w:p>
    <w:p>
      <w:pPr>
        <w:widowControl/>
        <w:spacing w:after="280" w:line="312" w:lineRule="auto"/>
        <w:ind w:firstLine="567"/>
        <w:jc w:val="both"/>
      </w:pPr>
      <w:r>
        <w:rPr>
          <w:rFonts w:ascii="Inter" w:hAnsi="Inter"/>
          <w:color w:val="655D50"/>
          <w:sz w:val="24"/>
        </w:rPr>
        <w:t>судей Прониной М.В., Тютина Д.В.</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государственного казенного учреждения города Москвы "Информационно-аналитический центр в сфере здравоохранения" на решение Арбитражного суда города Москвы от 19.01.2022, постановление Девятого арбитражного апелляционного суда от 04.04.2022 и постановление Арбитражного суда Московского округа от 20.07.2022 по делу № А40-201536/2021 по иску общества с ограниченной ответственностью "Управляющая компания БИЗОН плюс" к государственному казенному учреждению города Москвы "Информационно-аналитический центр в сфере здравоохранения" о взыскании неосновательного обогащения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В судебном заседании приняли участие представители государственного казенного учреждения города Москвы "Информационно-аналитический центр в сфере здравоохранения" Волков Р.И., Халикова А.А., представитель общества с ограниченной ответственностью "Управляющая компания БИЗОН плюс" Аксенов Ю.А.</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Иваненко Ю.Г., объяснения представителей ответчика, поддержавших доводы кассационной жалобы, представителя истца, возразившего против доводов кассационной жалобы,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"Управляющая компания БИЗОН плюс" (далее - ООО "УК БИЗОН плюс", общество) обратилось в Арбитражный суд города Москвы с исковым заявлением к государственному казенному учреждению города Москвы "Информационно-аналитический центр в сфере здравоохранения" (далее - ГКУ ИАЦ в сфере здравоохранения города Москвы, учреждение) о взыскании неосновательного обогащения в размере 80 438 776,13 руб. и процентов за пользование чужими денежными средствами с 07.08.2021 по 15.11.2021 в размере 1 433 731,92 руб.</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"Софтинтегро" (далее - ООО "Софтинтегро").</w:t>
      </w:r>
    </w:p>
    <w:p>
      <w:pPr>
        <w:widowControl/>
        <w:spacing w:after="280" w:line="312" w:lineRule="auto"/>
        <w:ind w:firstLine="567"/>
        <w:jc w:val="both"/>
      </w:pPr>
      <w:r>
        <w:rPr>
          <w:rFonts w:ascii="Inter" w:hAnsi="Inter"/>
          <w:color w:val="655D50"/>
          <w:sz w:val="24"/>
        </w:rPr>
        <w:t>Решением Арбитражного суда города Москвы от 19.01.2022, оставленным без изменения постановлением Девятого арбитражного апелляционного суда от 04.04.2022 и постановлением Арбитражного суда Московского округа от 20.07.2022, иск удовлетворен.</w:t>
      </w:r>
    </w:p>
    <w:p>
      <w:pPr>
        <w:widowControl/>
        <w:spacing w:after="280" w:line="312" w:lineRule="auto"/>
        <w:ind w:firstLine="567"/>
        <w:jc w:val="both"/>
      </w:pPr>
      <w:r>
        <w:rPr>
          <w:rFonts w:ascii="Inter" w:hAnsi="Inter"/>
          <w:color w:val="655D50"/>
          <w:sz w:val="24"/>
        </w:rPr>
        <w:t>ГКУ ИАЦ в сфере здравоохранения города Москвы обратилось в Верховный Суд Российской Федерации с кассационной жалобой на указанные судебные акты, в которой, ссылаясь на существенное нарушение судами норм материального и процессуального права, просит их отменить.</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30.12.2022 кассационная жалоба ГКУ ИАЦ в сфере здравоохранения города Москвы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ООО "УК БИЗОН плюс" выражает несогласие с доводами учреждения и просит оставить обжалуемые судебные акты без изменения.</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принятых судебных актов, Судебная коллегия по экономическим спорам Верховного Суда Российской Федерации полагает, что кассационная жалоба подлежит удовлетворению, а обжалуемые судебные акты - отмене по следующим основаниям.</w:t>
      </w:r>
    </w:p>
    <w:p>
      <w:pPr>
        <w:widowControl/>
        <w:spacing w:after="280" w:line="312" w:lineRule="auto"/>
        <w:ind w:firstLine="567"/>
        <w:jc w:val="both"/>
      </w:pPr>
      <w:r>
        <w:rPr>
          <w:rFonts w:ascii="Inter" w:hAnsi="Inter"/>
          <w:color w:val="655D50"/>
          <w:sz w:val="24"/>
        </w:rPr>
        <w:t>Из судебных актов и материалов дела следует, что между ГКУ ИАЦ в сфере здравоохранения города Москвы (заказчик) и ООО "Софтинтегро" (подрядчик) были заключены государственные контракты от 29.03.2018 № 69-Р-038/18 и от 06.04.2018 № 69-Р-044/18 на выполнение строительно-монтажных работ по созданию и модернизации информационно-коммуникационной инфраструктуры в государственных бюджетных учреждениях города Москвы "Городская клиническая больница им. В.В. Вересаева" и "Городская клиническая больница им. С.И. Спасокукоцкого" соответственно.</w:t>
      </w:r>
    </w:p>
    <w:p>
      <w:pPr>
        <w:widowControl/>
        <w:spacing w:after="280" w:line="312" w:lineRule="auto"/>
        <w:ind w:firstLine="567"/>
        <w:jc w:val="both"/>
      </w:pPr>
      <w:r>
        <w:rPr>
          <w:rFonts w:ascii="Inter" w:hAnsi="Inter"/>
          <w:color w:val="655D50"/>
          <w:sz w:val="24"/>
        </w:rPr>
        <w:t>В обеспечение обязательств по государственным контрактам ООО "Софтинтегро" представило банковские гарантии от 26.03.2018 № 11БГ/2018 на сумму 36 407 250 руб. и от 26.03.2018 № 12БГ/2018 на сумму 29 220 900 руб., выданные обществом с ограниченной ответственностью "Первый клиентский банк" (далее - ООО "Первый клиентский банк", банк).</w:t>
      </w:r>
    </w:p>
    <w:p>
      <w:pPr>
        <w:widowControl/>
        <w:spacing w:after="280" w:line="312" w:lineRule="auto"/>
        <w:ind w:firstLine="567"/>
        <w:jc w:val="both"/>
      </w:pPr>
      <w:r>
        <w:rPr>
          <w:rFonts w:ascii="Inter" w:hAnsi="Inter"/>
          <w:color w:val="655D50"/>
          <w:sz w:val="24"/>
        </w:rPr>
        <w:t>30.09.2018 государственные контракты расторгнуты на основании решения ГКУ ИАЦ в сфере здравоохранения города Москвы об одностороннем отказе от их исполнения. Учреждение (бенефициар) направило в банк (гарант) требования о полных выплатах по банковским гарантиям, которые оставлены банком без удовлетворения. Впоследствии решением Арбитражного суда города Москвы по делу № А40-234845/2019 был удовлетворен иск учреждения к ООО "Первый клиентский банк" о взыскании выплат по банковским гарантиям и неустоек, с банка взыскана задолженность по гарантиям в общем размере 65 628 150 руб., неустойка в размере 19 754 073,15 руб. за неисполнение обязательств по гарантии.</w:t>
      </w:r>
    </w:p>
    <w:p>
      <w:pPr>
        <w:widowControl/>
        <w:spacing w:after="280" w:line="312" w:lineRule="auto"/>
        <w:ind w:firstLine="567"/>
        <w:jc w:val="both"/>
      </w:pPr>
      <w:r>
        <w:rPr>
          <w:rFonts w:ascii="Inter" w:hAnsi="Inter"/>
          <w:color w:val="655D50"/>
          <w:sz w:val="24"/>
        </w:rPr>
        <w:t>Исполнив решения суда, банк перечислил учреждению денежные средства в общей сумме 85 382 223,15 руб. и 28.09.2020 направил ООО "Софтинтегро" как принципалу требование о возмещении суммы, выплаченной бенефициару, которое не было исполнено.</w:t>
      </w:r>
    </w:p>
    <w:p>
      <w:pPr>
        <w:widowControl/>
        <w:spacing w:after="280" w:line="312" w:lineRule="auto"/>
        <w:ind w:firstLine="567"/>
        <w:jc w:val="both"/>
      </w:pPr>
      <w:r>
        <w:rPr>
          <w:rFonts w:ascii="Inter" w:hAnsi="Inter"/>
          <w:color w:val="655D50"/>
          <w:sz w:val="24"/>
        </w:rPr>
        <w:t>Между ООО "УК БИЗОН плюс" и ООО "Первый клиентский банк" заключены договоры поручительства от 26.10.2018 № 11БГ/2018/п-3 и от 26.10.2018 № 12БГ/2018/п-3, которыми обеспечены обязательства ООО "Софтинтегро" перед банком по договорам о выдаче банковских гарантий.</w:t>
      </w:r>
    </w:p>
    <w:p>
      <w:pPr>
        <w:widowControl/>
        <w:spacing w:after="280" w:line="312" w:lineRule="auto"/>
        <w:ind w:firstLine="567"/>
        <w:jc w:val="both"/>
      </w:pPr>
      <w:r>
        <w:rPr>
          <w:rFonts w:ascii="Inter" w:hAnsi="Inter"/>
          <w:color w:val="655D50"/>
          <w:sz w:val="24"/>
        </w:rPr>
        <w:t>Решением Симоновского районного суда города Москвы от 17.06.2021 по гражданскому делу № 2-3415/21 с ООО "УК БИЗОН плюс" как с поручителя в пользу банка взыскано в солидарном порядке с двумя другими поручителями 85 582 223,15 руб. в счет возмещения денежных средств, выплаченных гарантом в соответствии с условиями гарантий. Данный судебный акт исполнен обществом.</w:t>
      </w:r>
    </w:p>
    <w:p>
      <w:pPr>
        <w:widowControl/>
        <w:spacing w:after="280" w:line="312" w:lineRule="auto"/>
        <w:ind w:firstLine="567"/>
        <w:jc w:val="both"/>
      </w:pPr>
      <w:r>
        <w:rPr>
          <w:rFonts w:ascii="Inter" w:hAnsi="Inter"/>
          <w:color w:val="655D50"/>
          <w:sz w:val="24"/>
        </w:rPr>
        <w:t>Ссылаясь на то, что ГКУ ИАЦ в сфере здравоохранения города Москвы злоупотребило своими правами и предъявило требования по банковским гарантиям в явно завышенном размере, что, в свою очередь, привело к необоснованному увеличению обязательств по договорам поручительства, ООО "УК БИЗОН плюс" обратилось с иском по настоящему делу.</w:t>
      </w:r>
    </w:p>
    <w:p>
      <w:pPr>
        <w:widowControl/>
        <w:spacing w:after="280" w:line="312" w:lineRule="auto"/>
        <w:ind w:firstLine="567"/>
        <w:jc w:val="both"/>
      </w:pPr>
      <w:r>
        <w:rPr>
          <w:rFonts w:ascii="Inter" w:hAnsi="Inter"/>
          <w:color w:val="655D50"/>
          <w:sz w:val="24"/>
        </w:rPr>
        <w:t>Удовлетворяя иск, суд первой инстанции исходил из того, что к ООО "УК БИЗОН плюс" как поручителю по банковской гарантии, исполнившему обязательство перед гарантом за ООО "Софтинтегро", перешло право требование к учреждению на заявленную сумму.</w:t>
      </w:r>
    </w:p>
    <w:p>
      <w:pPr>
        <w:widowControl/>
        <w:spacing w:after="280" w:line="312" w:lineRule="auto"/>
        <w:ind w:firstLine="567"/>
        <w:jc w:val="both"/>
      </w:pPr>
      <w:r>
        <w:rPr>
          <w:rFonts w:ascii="Inter" w:hAnsi="Inter"/>
          <w:color w:val="655D50"/>
          <w:sz w:val="24"/>
        </w:rPr>
        <w:t>С учетом положений статей 329, 330, пункта 2 статьи 715 Гражданского кодекса Российской Федерации (далее - ГК РФ), части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суд установил, что действительные обязательства принципала по государственным контрактам состоят в выплате штрафов в фиксированных суммах (590 606,50 руб. по контракту от 29.03.2018 № 69-Р-038/18 и 774 353,85 руб. по контракту от 06.04.2018 № 69-Р-044/18), а также пени за просрочку выполнения работ по первому этапу, начисленной до даты расторжения контрактов (1 134 456,66 руб. по контракту от 29.03.2018 № 69-Р-038/18 и 1 300 269,18 руб. по контракту от 06.04.2018 № 69-Р-044/18); что фактического ущерба от неисполнения государственных контрактов учреждение не понесло.</w:t>
      </w:r>
    </w:p>
    <w:p>
      <w:pPr>
        <w:widowControl/>
        <w:spacing w:after="280" w:line="312" w:lineRule="auto"/>
        <w:ind w:firstLine="567"/>
        <w:jc w:val="both"/>
      </w:pPr>
      <w:r>
        <w:rPr>
          <w:rFonts w:ascii="Inter" w:hAnsi="Inter"/>
          <w:color w:val="655D50"/>
          <w:sz w:val="24"/>
        </w:rPr>
        <w:t>По указанным в решении обстоятельствам суд сделал вывод, что в связи с нарушением обязательств по контрактам принципал должен был уплатить учреждению 3 799 686,19 руб., но учреждение получило от банка по гарантиям большую сумму, поэтому разница между этой суммой и суммой штрафов и пени, которую ООО "Софтинтегро" заплатило бы учреждению по условиям государственных контрактов, получена незаконно. В связи с этим суд взыскал с учреждения неосновательное обогащение в сумме 80 438 776,13 руб., а также применительно к статье 395, пункту 2 статьи 1107 ГК РФ проценты за пользование чужими денежными средствами в размере 1 433 731,92 руб.</w:t>
      </w:r>
    </w:p>
    <w:p>
      <w:pPr>
        <w:widowControl/>
        <w:spacing w:after="280" w:line="312" w:lineRule="auto"/>
        <w:ind w:firstLine="567"/>
        <w:jc w:val="both"/>
      </w:pPr>
      <w:r>
        <w:rPr>
          <w:rFonts w:ascii="Inter" w:hAnsi="Inter"/>
          <w:color w:val="655D50"/>
          <w:sz w:val="24"/>
        </w:rPr>
        <w:t>Суд апелляционной инстанции, поддерживая позицию суда первой инстанции о том, что к ООО "УК БИЗОН плюс", исполнившему за ООО "Софтинтегро" обязательства перед ООО "Первый клиентский банк", перешли права требования банка к подрядчику-принципалу в объеме, в котором общество удовлетворило требования банка (85 382 223,15 руб.), дополнительно исходил из того, что если принципал, возместивший гаранту выплаченные в соответствии с условиями независимой гарантии денежные суммы, полагает, что посредством выплаты по банковской гарантии бенефициар получил больше, чем то, на что он был вправе рассчитывать в соответствии с условиями обязательства между принципалом и бенефициаром, он вправе потребовать от бенефициара возмещения разницы как неосновательного обогащения.</w:t>
      </w:r>
    </w:p>
    <w:p>
      <w:pPr>
        <w:widowControl/>
        <w:spacing w:after="280" w:line="312" w:lineRule="auto"/>
        <w:ind w:firstLine="567"/>
        <w:jc w:val="both"/>
      </w:pPr>
      <w:r>
        <w:rPr>
          <w:rFonts w:ascii="Inter" w:hAnsi="Inter"/>
          <w:color w:val="655D50"/>
          <w:sz w:val="24"/>
        </w:rPr>
        <w:t>Суд пришел к выводу, что аналогичные положения могут быть применены и к поручителю, который за принципала возместил гаранту выплаченные по гарантии денежные суммы, если особенности правоотношений сторон таковы, что неосновательное обогащение у бенефициара возникает в экономическом смысле за счет поручителя вследствие того, что поручитель является конечным плательщиком.</w:t>
      </w:r>
    </w:p>
    <w:p>
      <w:pPr>
        <w:widowControl/>
        <w:spacing w:after="280" w:line="312" w:lineRule="auto"/>
        <w:ind w:firstLine="567"/>
        <w:jc w:val="both"/>
      </w:pPr>
      <w:r>
        <w:rPr>
          <w:rFonts w:ascii="Inter" w:hAnsi="Inter"/>
          <w:color w:val="655D50"/>
          <w:sz w:val="24"/>
        </w:rPr>
        <w:t>ООО "Софтинтегро" находится в процедуре банкротства, и ввиду этого суд сделал вывод, что вероятность непосредственной реализации им права на взыскание с учреждения неосновательного обогащения в виде разницы между полученным по гарантиям и тем, на что учреждение было вправе рассчитывать по государственным контрактам, мала. Принимая во внимание, что ООО "УК БИЗОН плюс" понесло расходы за ООО "Софтинтегро", а учреждение необоснованно получило по гарантиям завышенную сумму выплат, суд счел допустимым удовлетворение требований общества к учреждению согласно статье 1102 ГК РФ.</w:t>
      </w:r>
    </w:p>
    <w:p>
      <w:pPr>
        <w:widowControl/>
        <w:spacing w:after="280" w:line="312" w:lineRule="auto"/>
        <w:ind w:firstLine="567"/>
        <w:jc w:val="both"/>
      </w:pPr>
      <w:r>
        <w:rPr>
          <w:rFonts w:ascii="Inter" w:hAnsi="Inter"/>
          <w:color w:val="655D50"/>
          <w:sz w:val="24"/>
        </w:rPr>
        <w:t>Суд кассационной инстанции выводы судов нижестоящих инстанций поддержал.</w:t>
      </w:r>
    </w:p>
    <w:p>
      <w:pPr>
        <w:widowControl/>
        <w:spacing w:after="280" w:line="312" w:lineRule="auto"/>
        <w:ind w:firstLine="567"/>
        <w:jc w:val="both"/>
      </w:pPr>
      <w:r>
        <w:rPr>
          <w:rFonts w:ascii="Inter" w:hAnsi="Inter"/>
          <w:color w:val="655D50"/>
          <w:sz w:val="24"/>
        </w:rPr>
        <w:t>Вместе с тем с такими выводами судов нельзя согласиться, так как они основаны на неправильном толковании и применении норм материального права.</w:t>
      </w:r>
    </w:p>
    <w:p>
      <w:pPr>
        <w:widowControl/>
        <w:spacing w:after="280" w:line="312" w:lineRule="auto"/>
        <w:ind w:firstLine="567"/>
        <w:jc w:val="both"/>
      </w:pPr>
      <w:r>
        <w:rPr>
          <w:rFonts w:ascii="Inter" w:hAnsi="Inter"/>
          <w:color w:val="655D50"/>
          <w:sz w:val="24"/>
        </w:rPr>
        <w:t>В соответствии с пунктом 1 статьи 365 ГК РФ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процентов на сумму, выплаченную кредитору, и возмещения иных убытков, понесенных в связи с ответственностью за должника.</w:t>
      </w:r>
    </w:p>
    <w:p>
      <w:pPr>
        <w:widowControl/>
        <w:spacing w:after="280" w:line="312" w:lineRule="auto"/>
        <w:ind w:firstLine="567"/>
        <w:jc w:val="both"/>
      </w:pPr>
      <w:r>
        <w:rPr>
          <w:rFonts w:ascii="Inter" w:hAnsi="Inter"/>
          <w:color w:val="655D50"/>
          <w:sz w:val="24"/>
        </w:rPr>
        <w:t>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 (пункт 2 статьи 365 ГК РФ).</w:t>
      </w:r>
    </w:p>
    <w:p>
      <w:pPr>
        <w:widowControl/>
        <w:spacing w:after="280" w:line="312" w:lineRule="auto"/>
        <w:ind w:firstLine="567"/>
        <w:jc w:val="both"/>
      </w:pPr>
      <w:r>
        <w:rPr>
          <w:rFonts w:ascii="Inter" w:hAnsi="Inter"/>
          <w:color w:val="655D50"/>
          <w:sz w:val="24"/>
        </w:rPr>
        <w:t>Такие правила, как следует из пункта 3 данной статьи,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pPr>
        <w:widowControl/>
        <w:spacing w:after="280" w:line="312" w:lineRule="auto"/>
        <w:ind w:firstLine="567"/>
        <w:jc w:val="both"/>
      </w:pPr>
      <w:r>
        <w:rPr>
          <w:rFonts w:ascii="Inter" w:hAnsi="Inter"/>
          <w:color w:val="655D50"/>
          <w:sz w:val="24"/>
        </w:rPr>
        <w:t>В пункте 18 Постановления от 24.12.2020 № 45 "О некоторых вопросах разрешения споров о поручительстве" Пленум Верховного Суда Российской Федерации дал разъяснения, что к исполнившему обязательство поручителю в соответствующей части переходят принадлежащие кредитору права, в том числе право требовать уплаты договорных процентов, например процентов за пользование займом, неустойки за нарушение денежного обязательства по день уплаты денежных средств должником, а если такая неустойка не предусмотрена законом или договором, то процентов на основании статьи 395 ГК РФ (первое предложение пункта 1 статьи 365, пункт 1 статьи 384, пункт 4 статьи 395 ГК РФ). Вместо суммы, определенной в указанном выше порядке, поручитель вправе потребовать от должника сумму фактически уплаченного кредитору, а также проценты на основании статьи 395 ГК РФ, начисленные на эту сумму (второе предложение пункта 1 статьи 365 ГК РФ).</w:t>
      </w:r>
    </w:p>
    <w:p>
      <w:pPr>
        <w:widowControl/>
        <w:spacing w:after="280" w:line="312" w:lineRule="auto"/>
        <w:ind w:firstLine="567"/>
        <w:jc w:val="both"/>
      </w:pPr>
      <w:r>
        <w:rPr>
          <w:rFonts w:ascii="Inter" w:hAnsi="Inter"/>
          <w:color w:val="655D50"/>
          <w:sz w:val="24"/>
        </w:rPr>
        <w:t>Обстоятельств, указывающих на то, что приведенные правила не могут применяться в отношениях должника ООО "Софтинтегро" и поручителя ООО "УК БИЗОН плюс", который произвел исполнение обязательств должника перед кредитором - гарантом, судами не установлено.</w:t>
      </w:r>
    </w:p>
    <w:p>
      <w:pPr>
        <w:widowControl/>
        <w:spacing w:after="280" w:line="312" w:lineRule="auto"/>
        <w:ind w:firstLine="567"/>
        <w:jc w:val="both"/>
      </w:pPr>
      <w:r>
        <w:rPr>
          <w:rFonts w:ascii="Inter" w:hAnsi="Inter"/>
          <w:color w:val="655D50"/>
          <w:sz w:val="24"/>
        </w:rPr>
        <w:t>В силу отношений поручительства к ООО "УК БИЗОН плюс", исполнившему за должника (принципала) обязательства перед банком (гарантом), перешли права именно такого кредитора (банка) по этим обязательствам, которые он имел к должнику.</w:t>
      </w:r>
    </w:p>
    <w:p>
      <w:pPr>
        <w:widowControl/>
        <w:spacing w:after="280" w:line="312" w:lineRule="auto"/>
        <w:ind w:firstLine="567"/>
        <w:jc w:val="both"/>
      </w:pPr>
      <w:r>
        <w:rPr>
          <w:rFonts w:ascii="Inter" w:hAnsi="Inter"/>
          <w:color w:val="655D50"/>
          <w:sz w:val="24"/>
        </w:rPr>
        <w:t>Названное исполнение поручителем обязательств за должника по договорам о выдаче банковской гарантии не влияет на содержание правоотношений между бенефициаром и принципалом и не является основанием для перемены лиц в соответствующих обязательствах. В данном случае к исполнившему обязательство поручителю права должника, в том числе требования, которые он имеет или может иметь в отношении третьих лиц, не переходят.</w:t>
      </w:r>
    </w:p>
    <w:p>
      <w:pPr>
        <w:widowControl/>
        <w:spacing w:after="280" w:line="312" w:lineRule="auto"/>
        <w:ind w:firstLine="567"/>
        <w:jc w:val="both"/>
      </w:pPr>
      <w:r>
        <w:rPr>
          <w:rFonts w:ascii="Inter" w:hAnsi="Inter"/>
          <w:color w:val="655D50"/>
          <w:sz w:val="24"/>
        </w:rPr>
        <w:t>Таким образом, вывод судов первой, апелляционной и кассационной инстанций о том, что к ООО "УК БИЗОН плюс" как поручителю по банковской гарантии, исполнившему обязательство перед гарантом за ООО "Софтинтегро", перешло право требования к учреждению на заявленную сумму, не соответствует указанным нормам права, определяющим правовые последствия для отношений между должником и поручителем после исполнения кредитору.</w:t>
      </w:r>
    </w:p>
    <w:p>
      <w:pPr>
        <w:widowControl/>
        <w:spacing w:after="280" w:line="312" w:lineRule="auto"/>
        <w:ind w:firstLine="567"/>
        <w:jc w:val="both"/>
      </w:pPr>
      <w:r>
        <w:rPr>
          <w:rFonts w:ascii="Inter" w:hAnsi="Inter"/>
          <w:color w:val="655D50"/>
          <w:sz w:val="24"/>
        </w:rPr>
        <w:t>Кроме того, из судебных актов и материалов дела следует, что ООО "УК БИЗОН плюс" не является единственным поручителем должника.</w:t>
      </w:r>
    </w:p>
    <w:p>
      <w:pPr>
        <w:widowControl/>
        <w:spacing w:after="280" w:line="312" w:lineRule="auto"/>
        <w:ind w:firstLine="567"/>
        <w:jc w:val="both"/>
      </w:pPr>
      <w:r>
        <w:rPr>
          <w:rFonts w:ascii="Inter" w:hAnsi="Inter"/>
          <w:color w:val="655D50"/>
          <w:sz w:val="24"/>
        </w:rPr>
        <w:t>По решению Симоновского районного суда города Москвы от 17.06.2021 по гражданскому делу № 2-3415/21 в пользу банка взысканы денежные средства в размере 85 582 223,15 руб. солидарно с ООО "УК БИЗОН плюс" и двух других поручителей (юридическое лицо и физическое лицо).</w:t>
      </w:r>
    </w:p>
    <w:p>
      <w:pPr>
        <w:widowControl/>
        <w:spacing w:after="280" w:line="312" w:lineRule="auto"/>
        <w:ind w:firstLine="567"/>
        <w:jc w:val="both"/>
      </w:pPr>
      <w:r>
        <w:rPr>
          <w:rFonts w:ascii="Inter" w:hAnsi="Inter"/>
          <w:color w:val="655D50"/>
          <w:sz w:val="24"/>
        </w:rPr>
        <w:t>Согласно пункту 1 статьи 325 ГК РФ исполнение солидарной обязанности полностью одним из должников освобождает остальных должников от исполнения кредитору.</w:t>
      </w:r>
    </w:p>
    <w:p>
      <w:pPr>
        <w:widowControl/>
        <w:spacing w:after="280" w:line="312" w:lineRule="auto"/>
        <w:ind w:firstLine="567"/>
        <w:jc w:val="both"/>
      </w:pPr>
      <w:r>
        <w:rPr>
          <w:rFonts w:ascii="Inter" w:hAnsi="Inter"/>
          <w:color w:val="655D50"/>
          <w:sz w:val="24"/>
        </w:rPr>
        <w:t>Если иное не вытекает из отношений между солидарными должниками,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 (подпункт 1 пункта 2 статьи 325 ГК РФ).</w:t>
      </w:r>
    </w:p>
    <w:p>
      <w:pPr>
        <w:widowControl/>
        <w:spacing w:after="280" w:line="312" w:lineRule="auto"/>
        <w:ind w:firstLine="567"/>
        <w:jc w:val="both"/>
      </w:pPr>
      <w:r>
        <w:rPr>
          <w:rFonts w:ascii="Inter" w:hAnsi="Inter"/>
          <w:color w:val="655D50"/>
          <w:sz w:val="24"/>
        </w:rPr>
        <w:t>Следовательно, и в этом случае защиту тех прав, которые ООО "УК БИЗОН плюс" полагало нарушенными, общество может осуществить иным надлежащим способом.</w:t>
      </w:r>
    </w:p>
    <w:p>
      <w:pPr>
        <w:widowControl/>
        <w:spacing w:after="280" w:line="312" w:lineRule="auto"/>
        <w:ind w:firstLine="567"/>
        <w:jc w:val="both"/>
      </w:pPr>
      <w:r>
        <w:rPr>
          <w:rFonts w:ascii="Inter" w:hAnsi="Inter"/>
          <w:color w:val="655D50"/>
          <w:sz w:val="24"/>
        </w:rPr>
        <w:t>Судами не учтено, что по рассмотренному спору между ГКУ ИАЦ в сфере здравоохранения города Москвы и ООО "УК БИЗОН плюс" отсутствуют какие-либо обязательственные отношения, в том числе основанные на Законе о контрактной системе, во исполнение которых мог быть удовлетворен полностью или частично предъявленный иск.</w:t>
      </w:r>
    </w:p>
    <w:p>
      <w:pPr>
        <w:widowControl/>
        <w:spacing w:after="280" w:line="312" w:lineRule="auto"/>
        <w:ind w:firstLine="567"/>
        <w:jc w:val="both"/>
      </w:pPr>
      <w:r>
        <w:rPr>
          <w:rFonts w:ascii="Inter" w:hAnsi="Inter"/>
          <w:color w:val="655D50"/>
          <w:sz w:val="24"/>
        </w:rPr>
        <w:t>С учетом обозначенных обстоятельств и приведенных норм права, регулирующих отношения кредитора, должника и его поручителей, включая правовые последствия исполнения одним из поручителей обязательств должника, солидарных обязанностей, ООО "УК БИЗОН плюс" не является потерпевшем в значении статьи 1102 ГК РФ, положения которой в рассматриваемом случае также не могли являться правовым основанием для удовлетворения иска.</w:t>
      </w:r>
    </w:p>
    <w:p>
      <w:pPr>
        <w:widowControl/>
        <w:spacing w:after="280" w:line="312" w:lineRule="auto"/>
        <w:ind w:firstLine="567"/>
        <w:jc w:val="both"/>
      </w:pPr>
      <w:r>
        <w:rPr>
          <w:rFonts w:ascii="Inter" w:hAnsi="Inter"/>
          <w:color w:val="655D50"/>
          <w:sz w:val="24"/>
        </w:rPr>
        <w:t>В связи с этим судами ошибочно отклонены доводы учреждения о предъявлении иска к ненадлежащему ответчику.</w:t>
      </w:r>
    </w:p>
    <w:p>
      <w:pPr>
        <w:widowControl/>
        <w:spacing w:after="280" w:line="312" w:lineRule="auto"/>
        <w:ind w:firstLine="567"/>
        <w:jc w:val="both"/>
      </w:pPr>
      <w:r>
        <w:rPr>
          <w:rFonts w:ascii="Inter" w:hAnsi="Inter"/>
          <w:color w:val="655D50"/>
          <w:sz w:val="24"/>
        </w:rPr>
        <w:t>Правомерность взыскания с банка в пользу учреждения задолженности по банковским гарантиям в размере 65 628 150 руб. и неустойки в размере 19 754 073,15 руб. за неисполнение банком требования по гарантии в соответствующий срок, установлена решением Арбитражного суда города Москвы от 10.12.2019, оставленным без изменения постановлением Девятого арбитражного апелляционного суда от 15.06.2020, Постановлением Арбитражного суда Московского округа от 08.09.2020 по делу № А40-234845/2019.</w:t>
      </w:r>
    </w:p>
    <w:p>
      <w:pPr>
        <w:widowControl/>
        <w:spacing w:after="280" w:line="312" w:lineRule="auto"/>
        <w:ind w:firstLine="567"/>
        <w:jc w:val="both"/>
      </w:pPr>
      <w:r>
        <w:rPr>
          <w:rFonts w:ascii="Inter" w:hAnsi="Inter"/>
          <w:color w:val="655D50"/>
          <w:sz w:val="24"/>
        </w:rPr>
        <w:t>На основании статьи 375.1 ГК РФ 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pPr>
        <w:widowControl/>
        <w:spacing w:after="280" w:line="312" w:lineRule="auto"/>
        <w:ind w:firstLine="567"/>
        <w:jc w:val="both"/>
      </w:pPr>
      <w:r>
        <w:rPr>
          <w:rFonts w:ascii="Inter" w:hAnsi="Inter"/>
          <w:color w:val="655D50"/>
          <w:sz w:val="24"/>
        </w:rPr>
        <w:t>Поскольку правовых оснований для перехода к ООО "УК БИЗОН плюс" прав требования принципала, которые он может иметь к бенефициару, судами не установлено, данная норма права не могла быть положена в основу решения суда первой инстанции наряду с иными неправильно примененными нормами.</w:t>
      </w:r>
    </w:p>
    <w:p>
      <w:pPr>
        <w:widowControl/>
        <w:spacing w:after="280" w:line="312" w:lineRule="auto"/>
        <w:ind w:firstLine="567"/>
        <w:jc w:val="both"/>
      </w:pPr>
      <w:r>
        <w:rPr>
          <w:rFonts w:ascii="Inter" w:hAnsi="Inter"/>
          <w:color w:val="655D50"/>
          <w:sz w:val="24"/>
        </w:rPr>
        <w:t>Кроме того, не основаны на нормах права и не имеют юридического значения изложенные в постановлениях судов апелляционной и кассационной инстанций предположения о малой вероятности непосредственной реализации ООО "Софтинтегро" права на взыскание с учреждения денежных средств в виде разницы между полученным по гарантиям и тем, на что учреждение, по мнению ООО "УК БИЗОН плюс", было вправе рассчитывать по государственным контрактам.</w:t>
      </w:r>
    </w:p>
    <w:p>
      <w:pPr>
        <w:widowControl/>
        <w:spacing w:after="280" w:line="312" w:lineRule="auto"/>
        <w:ind w:firstLine="567"/>
        <w:jc w:val="both"/>
      </w:pPr>
      <w:r>
        <w:rPr>
          <w:rFonts w:ascii="Inter" w:hAnsi="Inter"/>
          <w:color w:val="655D50"/>
          <w:sz w:val="24"/>
        </w:rPr>
        <w:t>Граждане и юридические лица по своему усмотрению осуществляют принадлежащие им гражданские права (пункт 1 статьи 9 ГК РФ).</w:t>
      </w:r>
    </w:p>
    <w:p>
      <w:pPr>
        <w:widowControl/>
        <w:spacing w:after="280" w:line="312" w:lineRule="auto"/>
        <w:ind w:firstLine="567"/>
        <w:jc w:val="both"/>
      </w:pPr>
      <w:r>
        <w:rPr>
          <w:rFonts w:ascii="Inter" w:hAnsi="Inter"/>
          <w:color w:val="655D50"/>
          <w:sz w:val="24"/>
        </w:rPr>
        <w:t>В свою очередь, нахождение принципала в процедуре банкротства (конкурсное производство), на которое указали суды, не является самостоятельным основанием для перехода его прав к ООО "УК БИЗОН плюс", в том числе по требованиям к бенефициару.</w:t>
      </w:r>
    </w:p>
    <w:p>
      <w:pPr>
        <w:widowControl/>
        <w:spacing w:after="280" w:line="312" w:lineRule="auto"/>
        <w:ind w:firstLine="567"/>
        <w:jc w:val="both"/>
      </w:pPr>
      <w:r>
        <w:rPr>
          <w:rFonts w:ascii="Inter" w:hAnsi="Inter"/>
          <w:color w:val="655D50"/>
          <w:sz w:val="24"/>
        </w:rPr>
        <w:t>Принимая во внимание изложенное, обжалуемые судебные акты подлежат отмене согласно части 1 статьи 291.11, пункту 5 части 1 статьи 291.14 Арбитражного процессуального кодекса Российской Федерации с принятием нового судебного акта об отказе в удовлетворении искового заявления ООО "УК БИЗОН плюс", так как судами допущена существенная ошибка в применении и толковании норм материального права.</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19.01.2022, постановление Девятого арбитражного апелляционного суда от 04.04.2022 и постановление Арбитражного суда Московского округа от 20.07.2022 по делу № А40-201536/2021 отменить.</w:t>
      </w:r>
    </w:p>
    <w:p>
      <w:pPr>
        <w:widowControl/>
        <w:spacing w:after="280" w:line="312" w:lineRule="auto"/>
        <w:ind w:firstLine="567"/>
        <w:jc w:val="both"/>
      </w:pPr>
      <w:r>
        <w:rPr>
          <w:rFonts w:ascii="Inter" w:hAnsi="Inter"/>
          <w:color w:val="655D50"/>
          <w:sz w:val="24"/>
        </w:rPr>
        <w:t>В удовлетворении искового заявления общества с ограниченной ответственностью "Управляющая компания БИЗОН плюс" отказать.</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Ю.Г.ИВАНЕНКО</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М.В.ПРОНИНА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Д.В.ТЮТИН</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исполнение поручителем обязательств за должника по договорам о выдаче банковской гарантии не влияет на содержание правоотношений между бенефициаром и принципалом и не является основанием для перемены лиц в соответствующих обязательствах; в данном случае к исполнившему обязательство поручителю права должника, в том числе требования, которые он имеет или может иметь в отношении третьих лиц, не переходят.</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07.02.2023 № 305-ЭС22-21173 по делу № А40-201536/2021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07.02.2023 № 305-ЭС22-21173 по делу № А40-201536/2021</dc:title>
  <dc:subject/>
  <dc:creator>CasusLegal</dc:creator>
  <cp:keywords/>
  <dc:description/>
  <cp:lastModifiedBy>CasusLegal</cp:lastModifiedBy>
  <cp:revision>1</cp:revision>
  <dcterms:created xsi:type="dcterms:W3CDTF">2026-08-16T11:31:35Z</dcterms:created>
  <dcterms:modified xsi:type="dcterms:W3CDTF">2026-08-16T11:31:35Z</dcterms:modified>
  <cp:category/>
</cp:coreProperties>
</file>