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28.10.2025 № 14-КГ25-16-К1 (УИД 31RS0022-01-2023-006965-73)</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28.10.2025</w:t>
      </w:r>
    </w:p>
    <w:p>
      <w:pPr>
        <w:spacing w:after="40"/>
      </w:pPr>
      <w:r>
        <w:rPr>
          <w:rFonts w:ascii="Inter" w:hAnsi="Inter"/>
          <w:b/>
          <w:color w:val="8B8171"/>
          <w:sz w:val="18"/>
        </w:rPr>
        <w:t xml:space="preserve">Номер дела: </w:t>
      </w:r>
      <w:r>
        <w:rPr>
          <w:rFonts w:ascii="Inter" w:hAnsi="Inter"/>
          <w:color w:val="655D50"/>
          <w:sz w:val="18"/>
        </w:rPr>
        <w:t>14-КГ25-16</w:t>
      </w:r>
    </w:p>
    <w:p>
      <w:pPr>
        <w:spacing w:after="40"/>
      </w:pPr>
      <w:r>
        <w:rPr>
          <w:rFonts w:ascii="Inter" w:hAnsi="Inter"/>
          <w:b/>
          <w:color w:val="8B8171"/>
          <w:sz w:val="18"/>
        </w:rPr>
        <w:t xml:space="preserve">Теги: </w:t>
      </w:r>
      <w:r>
        <w:rPr>
          <w:rFonts w:ascii="Inter" w:hAnsi="Inter"/>
          <w:color w:val="655D50"/>
          <w:sz w:val="18"/>
        </w:rPr>
        <w:t>Кредитный договор, Договор банковского счета, Дистанционное банковское обслуживание, Электронная подпись, Статья 820 ГК РФ, Статья 847 ГК РФ, Статья 434 ГК РФ, Защита прав потребителей, Мошенничество</w:t>
      </w:r>
    </w:p>
    <w:p>
      <w:pPr>
        <w:widowControl/>
        <w:spacing w:after="280" w:line="312" w:lineRule="auto"/>
        <w:ind w:firstLine="567"/>
        <w:jc w:val="both"/>
      </w:pPr>
      <w:r>
        <w:rPr>
          <w:rFonts w:ascii="Inter" w:hAnsi="Inter"/>
          <w:color w:val="655D50"/>
          <w:sz w:val="24"/>
        </w:rPr>
        <w:t>Истец указывает на то, что в результате мошеннических действий неустановленных лиц путем подключения переадресации на его номере мобильного телефона на его имя оформлены два кредитных договора с последующим списанием денежных средств.</w:t>
      </w:r>
    </w:p>
    <w:p>
      <w:pPr>
        <w:widowControl/>
        <w:spacing w:after="280" w:line="312" w:lineRule="auto"/>
        <w:ind w:firstLine="567"/>
        <w:jc w:val="both"/>
      </w:pPr>
      <w:r>
        <w:rPr>
          <w:rFonts w:ascii="Inter" w:hAnsi="Inter"/>
          <w:color w:val="655D50"/>
          <w:sz w:val="24"/>
        </w:rPr>
        <w:t>УИД 31RS0022-01-2023-006965-73 Судебная коллегия по гражданским делам Верховного Суда Российской Федерации в составе: председательствующего Асташова С.В., судей Горшкова В.В., Киселева А.П. рассмотрела в открытом судебном заседании дело по иску Харченко Александра Федоровича к ПАО "Банк ВТБ" о признании кредитных договоров незаключенными по кассационной жалобе Харченко Александра Федоровича на апелляционное определение судебной коллегии по гражданским делам Воронежского областного суда от 28 ноября 2024 г. и определение судебной коллегии по гражданским делам Первого кассационного суда общей юрисдикции от 26 февраля 2025 г. Заслушав доклад судьи Верховного Суда Российской Федерации Горшкова В.В., выслушав Харченко А.Ф., его представителя адвоката Гудыменко А.А., поддержавших доводы кассационной жалобы, представителей ПАО "Банк ВТБ" Аристархова-Березова И.Д. и Фомичева А.В., возражавших против удовлетворения кассационной жалобы, представителя АО "СОГАЗ" Скворцову А.С., оставившую решение на усмотрение суда,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Харченко А.Ф. обратился в суд с названным иском к ПАО "Банк ВТБ" (далее - Банк), указав, что в результате мошеннических действий неустановленных лиц путем подключения переадресации на его номере мобильного телефона на имя Харченко А.Ф. оформлены два кредитных договора с последующим списанием денежных средств. Волеизъявление на заключение данных договоров истец не выражал, кредитных денежных средств не получал.</w:t>
      </w:r>
    </w:p>
    <w:p>
      <w:pPr>
        <w:widowControl/>
        <w:spacing w:after="280" w:line="312" w:lineRule="auto"/>
        <w:ind w:firstLine="567"/>
        <w:jc w:val="both"/>
      </w:pPr>
      <w:r>
        <w:rPr>
          <w:rFonts w:ascii="Inter" w:hAnsi="Inter"/>
          <w:color w:val="655D50"/>
          <w:sz w:val="24"/>
        </w:rPr>
        <w:t>Решением Центрального районного суда г. Воронежа от 27 мая 2024 г. исковые требования удовлетворены.</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Воронежского областного суда от 28 ноября 2024 г., оставленным без изменения определением судебной коллегии по гражданским делам Первого кассационного суда общей юрисдикции от 26 февраля 2025 г., решение суда первой инстанции отменено, по делу принято новое решение об отказе в удовлетворении исковых требований.</w:t>
      </w:r>
    </w:p>
    <w:p>
      <w:pPr>
        <w:widowControl/>
        <w:spacing w:after="280" w:line="312" w:lineRule="auto"/>
        <w:ind w:firstLine="567"/>
        <w:jc w:val="both"/>
      </w:pPr>
      <w:r>
        <w:rPr>
          <w:rFonts w:ascii="Inter" w:hAnsi="Inter"/>
          <w:color w:val="655D50"/>
          <w:sz w:val="24"/>
        </w:rPr>
        <w:t>В кассационной жалобе поставлен вопрос об отмене апелляционного определения и определения кассационного суда общей юрисдикции, оставлении в силе решения суда первой инстанции.</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Кротова М.В. от 29 сентября 2025 г. кассационные жалобы с делом переданы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возражения на кассационную жалобу, Судебная коллегия находит, что имеются основания для отмены состоявшихся по делу апелляционного определения и постановления кассационного суда общей юрисдикции.</w:t>
      </w:r>
    </w:p>
    <w:p>
      <w:pPr>
        <w:widowControl/>
        <w:spacing w:after="280" w:line="312" w:lineRule="auto"/>
        <w:ind w:firstLine="567"/>
        <w:jc w:val="both"/>
      </w:pPr>
      <w:r>
        <w:rPr>
          <w:rFonts w:ascii="Inter" w:hAnsi="Inter"/>
          <w:color w:val="655D50"/>
          <w:sz w:val="24"/>
        </w:rPr>
        <w:t>В соответствии со ст.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при рассмотрении настоящего дела.</w:t>
      </w:r>
    </w:p>
    <w:p>
      <w:pPr>
        <w:widowControl/>
        <w:spacing w:after="280" w:line="312" w:lineRule="auto"/>
        <w:ind w:firstLine="567"/>
        <w:jc w:val="both"/>
      </w:pPr>
      <w:r>
        <w:rPr>
          <w:rFonts w:ascii="Inter" w:hAnsi="Inter"/>
          <w:color w:val="655D50"/>
          <w:sz w:val="24"/>
        </w:rPr>
        <w:t>Судом установлено, что на основании подписанного от имени Харченко А.Ф. заявления на предоставление комплексного обслуживания истцу в Банке открыт счет N … для перечисления заработной платы в период с 25 января по 31 мая 2021 г., когда истец работал в должности контролера КПП у ИП Фуглаева Е.А., а также истцом получена банковская карта в рамках платежной системы МИР.</w:t>
      </w:r>
    </w:p>
    <w:p>
      <w:pPr>
        <w:widowControl/>
        <w:spacing w:after="280" w:line="312" w:lineRule="auto"/>
        <w:ind w:firstLine="567"/>
        <w:jc w:val="both"/>
      </w:pPr>
      <w:r>
        <w:rPr>
          <w:rFonts w:ascii="Inter" w:hAnsi="Inter"/>
          <w:color w:val="655D50"/>
          <w:sz w:val="24"/>
        </w:rPr>
        <w:t>Судом на основании представленных в материалы дела доказательств также установлено, что 6 ноября 2023 г. неизвестное лицо осуществило переадресацию звонков и SMS-сообщений с мобильного номера истца … истца на другой номер.</w:t>
      </w:r>
    </w:p>
    <w:p>
      <w:pPr>
        <w:widowControl/>
        <w:spacing w:after="280" w:line="312" w:lineRule="auto"/>
        <w:ind w:firstLine="567"/>
        <w:jc w:val="both"/>
      </w:pPr>
      <w:r>
        <w:rPr>
          <w:rFonts w:ascii="Inter" w:hAnsi="Inter"/>
          <w:color w:val="655D50"/>
          <w:sz w:val="24"/>
        </w:rPr>
        <w:t>В дальнейшем путем незаконного входа от имени истца в личный кабинет Банка неизвестным лицом 7 ноября 2023 г. оформлены два кредитных договора на 385 632, 44 руб. и на 100 000 руб., подписанных от имени истца простой электронной подписью.</w:t>
      </w:r>
    </w:p>
    <w:p>
      <w:pPr>
        <w:widowControl/>
        <w:spacing w:after="280" w:line="312" w:lineRule="auto"/>
        <w:ind w:firstLine="567"/>
        <w:jc w:val="both"/>
      </w:pPr>
      <w:r>
        <w:rPr>
          <w:rFonts w:ascii="Inter" w:hAnsi="Inter"/>
          <w:color w:val="655D50"/>
          <w:sz w:val="24"/>
        </w:rPr>
        <w:t>7 ноября 2023 г. на расчетный счет истца в Банке N … зачислены кредитные денежные средства по вышеуказанным договорам.</w:t>
      </w:r>
    </w:p>
    <w:p>
      <w:pPr>
        <w:widowControl/>
        <w:spacing w:after="280" w:line="312" w:lineRule="auto"/>
        <w:ind w:firstLine="567"/>
        <w:jc w:val="both"/>
      </w:pPr>
      <w:r>
        <w:rPr>
          <w:rFonts w:ascii="Inter" w:hAnsi="Inter"/>
          <w:color w:val="655D50"/>
          <w:sz w:val="24"/>
        </w:rPr>
        <w:t>В этот же день денежные средства перечислены Банком на счет САО "РЕСО-Гарантия" в размере 35 632, 44 руб. в счет оплаты страховой премии по договору страхования, на расчетный счет неизвестного истцу С.Е.Д. в размере 447 500 руб., а также на расчетный счет Центра помощи "Бродяга" (г. Златоуст) в размере 250 руб.</w:t>
      </w:r>
    </w:p>
    <w:p>
      <w:pPr>
        <w:widowControl/>
        <w:spacing w:after="280" w:line="312" w:lineRule="auto"/>
        <w:ind w:firstLine="567"/>
        <w:jc w:val="both"/>
      </w:pPr>
      <w:r>
        <w:rPr>
          <w:rFonts w:ascii="Inter" w:hAnsi="Inter"/>
          <w:color w:val="655D50"/>
          <w:sz w:val="24"/>
        </w:rPr>
        <w:t>17 ноября 2023 г. следователем отдела № 2 СУ УМВД России по г. Белгороду вынесено постановление о возбуждении уголовного дела по признакам преступления, предусмотренного ч. 3 ст. 159 Уголовного кодекса Российской Федерации, по факту хищения с банковского счета истца денежных средств, по данному уголовному делу истец признан потерпевшим.</w:t>
      </w:r>
    </w:p>
    <w:p>
      <w:pPr>
        <w:widowControl/>
        <w:spacing w:after="280" w:line="312" w:lineRule="auto"/>
        <w:ind w:firstLine="567"/>
        <w:jc w:val="both"/>
      </w:pPr>
      <w:r>
        <w:rPr>
          <w:rFonts w:ascii="Inter" w:hAnsi="Inter"/>
          <w:color w:val="655D50"/>
          <w:sz w:val="24"/>
        </w:rPr>
        <w:t>Кредитные договоры от 7 ноября 2023 г. истец полагал незаключенными, поскольку заявление-анкету на получение кредитов он в банк не подавал и не подписывал, равно как не заключал и указанные кредитные договоры.</w:t>
      </w:r>
    </w:p>
    <w:p>
      <w:pPr>
        <w:widowControl/>
        <w:spacing w:after="280" w:line="312" w:lineRule="auto"/>
        <w:ind w:firstLine="567"/>
        <w:jc w:val="both"/>
      </w:pPr>
      <w:r>
        <w:rPr>
          <w:rFonts w:ascii="Inter" w:hAnsi="Inter"/>
          <w:color w:val="655D50"/>
          <w:sz w:val="24"/>
        </w:rPr>
        <w:t>Удовлетворяя требования Харченко А.Ф., суд указал на обязанность Банка при списании денежных средств убедиться, что распоряжение дано клиентом или уполномоченным им лицом, в том числе в случае распоряжения денежными средствами при помощи электронных средств платежа с использованием кодов, паролей и иных средств, подтверждающих полномочия лица на распоряжение денежными средствами.</w:t>
      </w:r>
    </w:p>
    <w:p>
      <w:pPr>
        <w:widowControl/>
        <w:spacing w:after="280" w:line="312" w:lineRule="auto"/>
        <w:ind w:firstLine="567"/>
        <w:jc w:val="both"/>
      </w:pPr>
      <w:r>
        <w:rPr>
          <w:rFonts w:ascii="Inter" w:hAnsi="Inter"/>
          <w:color w:val="655D50"/>
          <w:sz w:val="24"/>
        </w:rPr>
        <w:t>При этом банк обязан доказать, что принял все меры для надлежащего исполнения обязательства при той степени заботливости и осмотрительности, какая от него требовалось по характеру обязательства и условиям оборота, однако установленные судом обстоятельства свидетельствуют об отсутствии доказательств заключения кредитных договоров истцом и об отсутствии надлежащей защиты банка от несанкционированного доступа к денежным средствам клиента.</w:t>
      </w:r>
    </w:p>
    <w:p>
      <w:pPr>
        <w:widowControl/>
        <w:spacing w:after="280" w:line="312" w:lineRule="auto"/>
        <w:ind w:firstLine="567"/>
        <w:jc w:val="both"/>
      </w:pPr>
      <w:r>
        <w:rPr>
          <w:rFonts w:ascii="Inter" w:hAnsi="Inter"/>
          <w:color w:val="655D50"/>
          <w:sz w:val="24"/>
        </w:rPr>
        <w:t>Доводы ответчика относительно соблюдения банком всех процедур заключения кредитных договоров, о виновном и недобросовестном поведении самого истца, об использовании им кредитных денежных средств, а также о соответствии устройства, при помощи которого производилось дистанционное заключение договоров и управление счетом, ранее используемому истцом устройству, судом признаны необоснованными.</w:t>
      </w:r>
    </w:p>
    <w:p>
      <w:pPr>
        <w:widowControl/>
        <w:spacing w:after="280" w:line="312" w:lineRule="auto"/>
        <w:ind w:firstLine="567"/>
        <w:jc w:val="both"/>
      </w:pPr>
      <w:r>
        <w:rPr>
          <w:rFonts w:ascii="Inter" w:hAnsi="Inter"/>
          <w:color w:val="655D50"/>
          <w:sz w:val="24"/>
        </w:rPr>
        <w:t>Суд также счел доказанным, что подписи в заявлении истца на предоставление комплексного обслуживания в Банке от 14 января 2021 г. не принадлежат истцу, указанное обстоятельство стороной ответчика не оспорено, ходатайство о назначении по делу судебной почерковедческой экспертизы не заявлено.</w:t>
      </w:r>
    </w:p>
    <w:p>
      <w:pPr>
        <w:widowControl/>
        <w:spacing w:after="280" w:line="312" w:lineRule="auto"/>
        <w:ind w:firstLine="567"/>
        <w:jc w:val="both"/>
      </w:pPr>
      <w:r>
        <w:rPr>
          <w:rFonts w:ascii="Inter" w:hAnsi="Inter"/>
          <w:color w:val="655D50"/>
          <w:sz w:val="24"/>
        </w:rPr>
        <w:t>При этом в данных договорах указаны недостоверные сведения о месте регистрации и жительства истца, о его месте работы и неверный электронный адрес.</w:t>
      </w:r>
    </w:p>
    <w:p>
      <w:pPr>
        <w:widowControl/>
        <w:spacing w:after="280" w:line="312" w:lineRule="auto"/>
        <w:ind w:firstLine="567"/>
        <w:jc w:val="both"/>
      </w:pPr>
      <w:r>
        <w:rPr>
          <w:rFonts w:ascii="Inter" w:hAnsi="Inter"/>
          <w:color w:val="655D50"/>
          <w:sz w:val="24"/>
        </w:rPr>
        <w:t>Поскольку договор на комплексное банковское обслуживание истцом не заключался, суд пришел к выводу о том, что на дату заключения кредитных договоров у банка отсутствовало полномочие на дистанционное оформление истцу кредитных договоров.</w:t>
      </w:r>
    </w:p>
    <w:p>
      <w:pPr>
        <w:widowControl/>
        <w:spacing w:after="280" w:line="312" w:lineRule="auto"/>
        <w:ind w:firstLine="567"/>
        <w:jc w:val="both"/>
      </w:pPr>
      <w:r>
        <w:rPr>
          <w:rFonts w:ascii="Inter" w:hAnsi="Inter"/>
          <w:color w:val="655D50"/>
          <w:sz w:val="24"/>
        </w:rPr>
        <w:t>Суд учел, что Банк, являясь профессиональным участником кредитных правоотношений, с точки зрения добросовестности, разумности и осмотрительности, при заключении договоров и перечислении денежных средств не принял надлежащих мер по установлению действительной воли предполагаемого заемщика на заключение одновременно двух разных кредитных договоров после длительного периода необслуживания в указанном банке, с немедленным переводом кредитных денежных средств, в том числе, одному и тому же лицу несколькими платежами, с восстановлением пароля в мобильном приложении ВТБ-Онлайн.</w:t>
      </w:r>
    </w:p>
    <w:p>
      <w:pPr>
        <w:widowControl/>
        <w:spacing w:after="280" w:line="312" w:lineRule="auto"/>
        <w:ind w:firstLine="567"/>
        <w:jc w:val="both"/>
      </w:pPr>
      <w:r>
        <w:rPr>
          <w:rFonts w:ascii="Inter" w:hAnsi="Inter"/>
          <w:color w:val="655D50"/>
          <w:sz w:val="24"/>
        </w:rPr>
        <w:t>С учетом установленных обстоятельств несанкционированной переадресации звонков и сообщений с номера телефона истца, что подтверждено оператором мобильной связи, к которому Харченко А.Ф. обратился после того, как его телефон перестал работать, суд посчитал установленным, что истцом оспариваемые кредитные договоры не заключались.</w:t>
      </w:r>
    </w:p>
    <w:p>
      <w:pPr>
        <w:widowControl/>
        <w:spacing w:after="280" w:line="312" w:lineRule="auto"/>
        <w:ind w:firstLine="567"/>
        <w:jc w:val="both"/>
      </w:pPr>
      <w:r>
        <w:rPr>
          <w:rFonts w:ascii="Inter" w:hAnsi="Inter"/>
          <w:color w:val="655D50"/>
          <w:sz w:val="24"/>
        </w:rPr>
        <w:t>Указанная банком хронология заключения кредитных договоров, в совокупности с действиями истца по обращению к оператору мобильной связи и в правоохранительные органы с заявлением о совершении мошеннических действий, а также доводы истца о непричастности к заключению кредитных договоров и распоряжению кредитными средствами, по мнению суда первой инстанции, свидетельствуют об отсутствии у истца волеизъявления на заключение спорных кредитных договоров, которые заключены неустановленными лицами, вопреки воле и интересам истца, и не повлекли для него положительного правового эффекта.</w:t>
      </w:r>
    </w:p>
    <w:p>
      <w:pPr>
        <w:widowControl/>
        <w:spacing w:after="280" w:line="312" w:lineRule="auto"/>
        <w:ind w:firstLine="567"/>
        <w:jc w:val="both"/>
      </w:pPr>
      <w:r>
        <w:rPr>
          <w:rFonts w:ascii="Inter" w:hAnsi="Inter"/>
          <w:color w:val="655D50"/>
          <w:sz w:val="24"/>
        </w:rPr>
        <w:t>С учетом изложенного суд первой инстанции сделал вывод о незаключенности кредитных договоров от 7 ноября 2023 г.</w:t>
      </w:r>
    </w:p>
    <w:p>
      <w:pPr>
        <w:widowControl/>
        <w:spacing w:after="280" w:line="312" w:lineRule="auto"/>
        <w:ind w:firstLine="567"/>
        <w:jc w:val="both"/>
      </w:pPr>
      <w:r>
        <w:rPr>
          <w:rFonts w:ascii="Inter" w:hAnsi="Inter"/>
          <w:color w:val="655D50"/>
          <w:sz w:val="24"/>
        </w:rPr>
        <w:t>Отменяя решение суда первой инстанции и отказывая в иске, суд апелляционной инстанции, указав, что кредитные договоры от 7 ноября 2023 г. заключены посредством заявки на получение кредита и перечисления денежных средств с использованием мобильного приложения с корректно введенными данными после восстановления пароля. Поскольку кредитные договоры подписаны простой электронной подписью Харченко А.Ф. с использованием кодов и паролей, направленных на принадлежащий ему телефонный номер, оснований для удовлетворения исковых требований Харченко А.Ф. суд апелляционной инстанции не усмотрел.</w:t>
      </w:r>
    </w:p>
    <w:p>
      <w:pPr>
        <w:widowControl/>
        <w:spacing w:after="280" w:line="312" w:lineRule="auto"/>
        <w:ind w:firstLine="567"/>
        <w:jc w:val="both"/>
      </w:pPr>
      <w:r>
        <w:rPr>
          <w:rFonts w:ascii="Inter" w:hAnsi="Inter"/>
          <w:color w:val="655D50"/>
          <w:sz w:val="24"/>
        </w:rPr>
        <w:t>С такими выводами согласился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апелляционное определение и определение суда кассационной инстанции приняты с нарушением норм действующего законодательства,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Согласно ст. 153 Гражданского кодекса Российской Федерации сделками признаются действия граждан и юридических лиц, направленные на установление, изменение или прекращение гражданских прав и обязанностей.</w:t>
      </w:r>
    </w:p>
    <w:p>
      <w:pPr>
        <w:widowControl/>
        <w:spacing w:after="280" w:line="312" w:lineRule="auto"/>
        <w:ind w:firstLine="567"/>
        <w:jc w:val="both"/>
      </w:pPr>
      <w:r>
        <w:rPr>
          <w:rFonts w:ascii="Inter" w:hAnsi="Inter"/>
          <w:color w:val="655D50"/>
          <w:sz w:val="24"/>
        </w:rPr>
        <w:t>Указание в законе на цель данных действий свидетельствует о том, что они являются актом волеизъявления соответствующего лица.</w:t>
      </w:r>
    </w:p>
    <w:p>
      <w:pPr>
        <w:widowControl/>
        <w:spacing w:after="280" w:line="312" w:lineRule="auto"/>
        <w:ind w:firstLine="567"/>
        <w:jc w:val="both"/>
      </w:pPr>
      <w:r>
        <w:rPr>
          <w:rFonts w:ascii="Inter" w:hAnsi="Inter"/>
          <w:color w:val="655D50"/>
          <w:sz w:val="24"/>
        </w:rPr>
        <w:t>В ст. 432 этого же кодекса предусмотрено, что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pPr>
        <w:widowControl/>
        <w:spacing w:after="280" w:line="312" w:lineRule="auto"/>
        <w:ind w:firstLine="567"/>
        <w:jc w:val="both"/>
      </w:pPr>
      <w:r>
        <w:rPr>
          <w:rFonts w:ascii="Inter" w:hAnsi="Inter"/>
          <w:color w:val="655D50"/>
          <w:sz w:val="24"/>
        </w:rPr>
        <w:t>В соответствии со ст. 820 данного кодекса кредитный договор должен быть заключен в письменной форме.</w:t>
      </w:r>
    </w:p>
    <w:p>
      <w:pPr>
        <w:widowControl/>
        <w:spacing w:after="280" w:line="312" w:lineRule="auto"/>
        <w:ind w:firstLine="567"/>
        <w:jc w:val="both"/>
      </w:pPr>
      <w:r>
        <w:rPr>
          <w:rFonts w:ascii="Inter" w:hAnsi="Inter"/>
          <w:color w:val="655D50"/>
          <w:sz w:val="24"/>
        </w:rPr>
        <w:t>Несоблюдение письменной формы влечет недействительность кредитного договора. Такой договор считается ничтожным.</w:t>
      </w:r>
    </w:p>
    <w:p>
      <w:pPr>
        <w:widowControl/>
        <w:spacing w:after="280" w:line="312" w:lineRule="auto"/>
        <w:ind w:firstLine="567"/>
        <w:jc w:val="both"/>
      </w:pPr>
      <w:r>
        <w:rPr>
          <w:rFonts w:ascii="Inter" w:hAnsi="Inter"/>
          <w:color w:val="655D50"/>
          <w:sz w:val="24"/>
        </w:rPr>
        <w:t>Согласно п. 1 ст. 160 Гражданского кодекса Российской Федерации письменная форма сделки считается соблюденной также в случае совершения лицом сделки с помощью электронных либо иных технических средств, позволяющих воспроизвести на материальном носителе в неизменном виде содержание сделки, при этом требование о наличии подписи считается выполненным, если использован любой способ, позволяющий достоверно определить лицо, выразившее волю. Законом, иными правовыми актами и соглашением сторон может быть предусмотрен специальный способ достоверного определения лица, выразившего волю.</w:t>
      </w:r>
    </w:p>
    <w:p>
      <w:pPr>
        <w:widowControl/>
        <w:spacing w:after="280" w:line="312" w:lineRule="auto"/>
        <w:ind w:firstLine="567"/>
        <w:jc w:val="both"/>
      </w:pPr>
      <w:r>
        <w:rPr>
          <w:rFonts w:ascii="Inter" w:hAnsi="Inter"/>
          <w:color w:val="655D50"/>
          <w:sz w:val="24"/>
        </w:rPr>
        <w:t>В ст. 10 Закона Российской Федерации от 7 февраля 1992 г. № 2300-1 "О защите прав потребителей" предусмотрена обязанность исполнителя своевременно предоставлять потребителю необходимую и достоверную информацию об услугах, обеспечивающую возможность их правильного выбора.</w:t>
      </w:r>
    </w:p>
    <w:p>
      <w:pPr>
        <w:widowControl/>
        <w:spacing w:after="280" w:line="312" w:lineRule="auto"/>
        <w:ind w:firstLine="567"/>
        <w:jc w:val="both"/>
      </w:pPr>
      <w:r>
        <w:rPr>
          <w:rFonts w:ascii="Inter" w:hAnsi="Inter"/>
          <w:color w:val="655D50"/>
          <w:sz w:val="24"/>
        </w:rPr>
        <w:t>В п. 14 ст. 7 Федерального закона от 21 декабря 2013 г. № 353-ФЗ "О потребительском кредите" (далее - Закон о потребительском кредите, в редакции, действовавшей на момент возникновения спорных правоотношений) установлено, что документы, необходимые для заключения договора потребительского кредита (займа) в соответствии с указанной статьей, включая индивидуальные условия договора потребительского кредита (займа) и заявление о предоставлении потребительского кредита (займа), могут быть подписаны сторонами с использованием аналога собственноручной подписи способом, подтверждающим ее принадлежность сторонам в соответствии с требованиями федеральных законов, и направлены с использованием информационно-телекоммуникационных сетей, в том числе сети "Интернет". При каждом ознакомлении в информационно-телекоммуникационной сети "Интернет" с индивидуальными условиями договора потребительского кредита (займа) заемщик должен получать уведомление о сроке, в течение которого на таких условиях с заемщиком может быть заключен договор потребительского кредита (займа) и который определяется в соответствии с этим федеральным законом.</w:t>
      </w:r>
    </w:p>
    <w:p>
      <w:pPr>
        <w:widowControl/>
        <w:spacing w:after="280" w:line="312" w:lineRule="auto"/>
        <w:ind w:firstLine="567"/>
        <w:jc w:val="both"/>
      </w:pPr>
      <w:r>
        <w:rPr>
          <w:rFonts w:ascii="Inter" w:hAnsi="Inter"/>
          <w:color w:val="655D50"/>
          <w:sz w:val="24"/>
        </w:rPr>
        <w:t>В ч. 2 ст. 5 Федерального закона от 6 апреля 2011 г. № 63-ФЗ "Об электронной подписи" определено, что простой электронной подписью является 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w:t>
      </w:r>
    </w:p>
    <w:p>
      <w:pPr>
        <w:widowControl/>
        <w:spacing w:after="280" w:line="312" w:lineRule="auto"/>
        <w:ind w:firstLine="567"/>
        <w:jc w:val="both"/>
      </w:pPr>
      <w:r>
        <w:rPr>
          <w:rFonts w:ascii="Inter" w:hAnsi="Inter"/>
          <w:color w:val="655D50"/>
          <w:sz w:val="24"/>
        </w:rPr>
        <w:t>В ч. 2 ст. 6 указанного закона закреплено, что информация в электронной форме, подписанная простой электронной подписью или неквалифицированной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в случаях, установленных федеральными законами, принимаемыми в соответствии с ними нормативными правовыми актами, нормативными актами Центрального банка Российской Федерации или соглашением между участниками электронного взаимодействия, в том числе правилами платежных систем.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неквалифицированной электронной подписью, равнозначными документам на бумажных носителях, подписанным собственноручной подписью, должны предусматривать порядок проверки электронной подписи.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соответствовать требованиям ст. 9 данного закона.</w:t>
      </w:r>
    </w:p>
    <w:p>
      <w:pPr>
        <w:widowControl/>
        <w:spacing w:after="280" w:line="312" w:lineRule="auto"/>
        <w:ind w:firstLine="567"/>
        <w:jc w:val="both"/>
      </w:pPr>
      <w:r>
        <w:rPr>
          <w:rFonts w:ascii="Inter" w:hAnsi="Inter"/>
          <w:color w:val="655D50"/>
          <w:sz w:val="24"/>
        </w:rPr>
        <w:t>Электронный документ согласно ст. 9 названного закона считается подписанным простой электронной подписью при выполнении в том числе одного из следующих условий:</w:t>
      </w:r>
    </w:p>
    <w:p>
      <w:pPr>
        <w:widowControl/>
        <w:spacing w:after="280" w:line="312" w:lineRule="auto"/>
        <w:ind w:firstLine="567"/>
        <w:jc w:val="both"/>
      </w:pPr>
      <w:r>
        <w:rPr>
          <w:rFonts w:ascii="Inter" w:hAnsi="Inter"/>
          <w:color w:val="655D50"/>
          <w:sz w:val="24"/>
        </w:rPr>
        <w:t>1) простая электронная подпись содержится в самом электронном документе;</w:t>
      </w:r>
    </w:p>
    <w:p>
      <w:pPr>
        <w:widowControl/>
        <w:spacing w:after="280" w:line="312" w:lineRule="auto"/>
        <w:ind w:firstLine="567"/>
        <w:jc w:val="both"/>
      </w:pPr>
      <w:r>
        <w:rPr>
          <w:rFonts w:ascii="Inter" w:hAnsi="Inter"/>
          <w:color w:val="655D50"/>
          <w:sz w:val="24"/>
        </w:rPr>
        <w:t>2) ключ простой электронной подписи применяется в соответствии с правилами, установленными оператором информационной системы, с использованием которой осуществляются создание и (или) отправка электронного документа, и в созданном и (или) отправленном электронном документе содержится информация, указывающая на лицо, от имени которого был создан и (или) отправлен электронный документ.</w:t>
      </w:r>
    </w:p>
    <w:p>
      <w:pPr>
        <w:widowControl/>
        <w:spacing w:after="280" w:line="312" w:lineRule="auto"/>
        <w:ind w:firstLine="567"/>
        <w:jc w:val="both"/>
      </w:pPr>
      <w:r>
        <w:rPr>
          <w:rFonts w:ascii="Inter" w:hAnsi="Inter"/>
          <w:color w:val="655D50"/>
          <w:sz w:val="24"/>
        </w:rPr>
        <w:t>В ч. 2 этой же статьи указано, что нормативные правовые акты и (или)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предусматривать, в частности:</w:t>
      </w:r>
    </w:p>
    <w:p>
      <w:pPr>
        <w:widowControl/>
        <w:spacing w:after="280" w:line="312" w:lineRule="auto"/>
        <w:ind w:firstLine="567"/>
        <w:jc w:val="both"/>
      </w:pPr>
      <w:r>
        <w:rPr>
          <w:rFonts w:ascii="Inter" w:hAnsi="Inter"/>
          <w:color w:val="655D50"/>
          <w:sz w:val="24"/>
        </w:rPr>
        <w:t>1) правила определения лица, подписывающего электронный документ, по его простой электронной подписи;</w:t>
      </w:r>
    </w:p>
    <w:p>
      <w:pPr>
        <w:widowControl/>
        <w:spacing w:after="280" w:line="312" w:lineRule="auto"/>
        <w:ind w:firstLine="567"/>
        <w:jc w:val="both"/>
      </w:pPr>
      <w:r>
        <w:rPr>
          <w:rFonts w:ascii="Inter" w:hAnsi="Inter"/>
          <w:color w:val="655D50"/>
          <w:sz w:val="24"/>
        </w:rPr>
        <w:t>2) обязанность лица, создающего и (или) использующего ключ простой электронной подписи, соблюдать его конфиденциальность.</w:t>
      </w:r>
    </w:p>
    <w:p>
      <w:pPr>
        <w:widowControl/>
        <w:spacing w:after="280" w:line="312" w:lineRule="auto"/>
        <w:ind w:firstLine="567"/>
        <w:jc w:val="both"/>
      </w:pPr>
      <w:r>
        <w:rPr>
          <w:rFonts w:ascii="Inter" w:hAnsi="Inter"/>
          <w:color w:val="655D50"/>
          <w:sz w:val="24"/>
        </w:rPr>
        <w:t>Как разъяснено Конституционным Судом Российской Федерации в определении от 13 октября 2022 г. № 2669-О, к числу обстоятельств, при которых кредитной организации в случае дистанционного оформления кредитного договора надлежит принимать повышенные меры предосторожности, следует отнести факт подачи заявки на получение клиентом кредита и незамедлительной выдачи банку распоряжения о перечислении кредитных денежных средств в пользу третьего лица (лиц).</w:t>
      </w:r>
    </w:p>
    <w:p>
      <w:pPr>
        <w:widowControl/>
        <w:spacing w:after="280" w:line="312" w:lineRule="auto"/>
        <w:ind w:firstLine="567"/>
        <w:jc w:val="both"/>
      </w:pPr>
      <w:r>
        <w:rPr>
          <w:rFonts w:ascii="Inter" w:hAnsi="Inter"/>
          <w:color w:val="655D50"/>
          <w:sz w:val="24"/>
        </w:rPr>
        <w:t>Таким образом, при заключении договора потребительского кредита, а также при предложении дополнительных услуг, оказываемых кредитором и (или) третьими лицами, включая страхование жизни и (или) здоровья заемщика в пользу кредитора, а также иного страхового интереса заемщика, в том числе с помощью электронных либо иных технических средств кредитором до сведения заемщика должна быть своевременно доведена необходимая и достоверная информация об услугах, обеспечивающая возможность их правильного выбора, при этом индивидуальные условия договора потребительского кредита должны быть в обязательном порядке согласованы кредитором и заемщиком индивидуально.</w:t>
      </w:r>
    </w:p>
    <w:p>
      <w:pPr>
        <w:widowControl/>
        <w:spacing w:after="280" w:line="312" w:lineRule="auto"/>
        <w:ind w:firstLine="567"/>
        <w:jc w:val="both"/>
      </w:pPr>
      <w:r>
        <w:rPr>
          <w:rFonts w:ascii="Inter" w:hAnsi="Inter"/>
          <w:color w:val="655D50"/>
          <w:sz w:val="24"/>
        </w:rPr>
        <w:t>В случае совершения лицом сделки с помощью электронных либо иных технических средств его письменная форма считается соблюденной, если эти средства позволяют воспроизвести на материальном носителе содержание договора в неизменном виде (в частности, при распечатывании).</w:t>
      </w:r>
    </w:p>
    <w:p>
      <w:pPr>
        <w:widowControl/>
        <w:spacing w:after="280" w:line="312" w:lineRule="auto"/>
        <w:ind w:firstLine="567"/>
        <w:jc w:val="both"/>
      </w:pPr>
      <w:r>
        <w:rPr>
          <w:rFonts w:ascii="Inter" w:hAnsi="Inter"/>
          <w:color w:val="655D50"/>
          <w:sz w:val="24"/>
        </w:rPr>
        <w:t>Информация в электронной форме, подписанная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в случаях, установленных федеральными законами или соглашением между участниками электронного взаимодействия, которые должны предусматривать в том числе правила определения лица, подписывающего электронный документ, по его простой электронной подписи.</w:t>
      </w:r>
    </w:p>
    <w:p>
      <w:pPr>
        <w:widowControl/>
        <w:spacing w:after="280" w:line="312" w:lineRule="auto"/>
        <w:ind w:firstLine="567"/>
        <w:jc w:val="both"/>
      </w:pPr>
      <w:r>
        <w:rPr>
          <w:rFonts w:ascii="Inter" w:hAnsi="Inter"/>
          <w:color w:val="655D50"/>
          <w:sz w:val="24"/>
        </w:rPr>
        <w:t>Соответственно, для обеспечения документа, подписанного простой электронной подписью, юридической силой необходимо идентифицировать лицо, которое использует простую электронную подпись, понятие которой в законе определено не только через наличие присущих ей технических признаков - использование кодов, паролей или иных средств, но и через ее функциональные характеристики - необходимость подтверждения факта формирования электронной подписи определенным лицом.</w:t>
      </w:r>
    </w:p>
    <w:p>
      <w:pPr>
        <w:widowControl/>
        <w:spacing w:after="280" w:line="312" w:lineRule="auto"/>
        <w:ind w:firstLine="567"/>
        <w:jc w:val="both"/>
      </w:pPr>
      <w:r>
        <w:rPr>
          <w:rFonts w:ascii="Inter" w:hAnsi="Inter"/>
          <w:color w:val="655D50"/>
          <w:sz w:val="24"/>
        </w:rPr>
        <w:t>Учитывая изложенное, легитимность электронного документа с простой электронной подписью, содержащего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 подтверждается наличием указания в нем лица, от имени которого составлен и отправлен электронный документ.</w:t>
      </w:r>
    </w:p>
    <w:p>
      <w:pPr>
        <w:widowControl/>
        <w:spacing w:after="280" w:line="312" w:lineRule="auto"/>
        <w:ind w:firstLine="567"/>
        <w:jc w:val="both"/>
      </w:pPr>
      <w:r>
        <w:rPr>
          <w:rFonts w:ascii="Inter" w:hAnsi="Inter"/>
          <w:color w:val="655D50"/>
          <w:sz w:val="24"/>
        </w:rPr>
        <w:t>Согласно позиции Банка России, изложенной в Информационном письме от 3 февраля 2022 г. № ИН-02-59/6 "О порядке согласования с заемщиками индивидуальных условий договора потребительского кредита (займа)", индивидуальные условия договора потребительского кредита (займа) подлежат отражению в табличной форме и подписанию заемщиком. При этом ч. 14 ст. 7 Закона о потребительском кредите установлена возможность подписания заемщиком индивидуальных условий договора потребительского кредита (займа) также с использованием аналога собственноручной подписи способом, подтверждающим ее принадлежность заемщику в соответствии с требованиями федеральных законов.</w:t>
      </w:r>
    </w:p>
    <w:p>
      <w:pPr>
        <w:widowControl/>
        <w:spacing w:after="280" w:line="312" w:lineRule="auto"/>
        <w:ind w:firstLine="567"/>
        <w:jc w:val="both"/>
      </w:pPr>
      <w:r>
        <w:rPr>
          <w:rFonts w:ascii="Inter" w:hAnsi="Inter"/>
          <w:color w:val="655D50"/>
          <w:sz w:val="24"/>
        </w:rPr>
        <w:t>Банком России выявлено использование кредиторами практик заключения договора потребительского кредита (займа), при которых согласие заемщика выражается посредством совершения действий, свидетельствующих о его согласии с предлагаемыми кредитором индивидуальными условиями (конклюдентные действия), либо телефонного звонка в адрес кредитора с информированием последнего о согласии на получение потребительского кредита (займа) на предложенных индивидуальных условиях. Как в первом, так и во втором случае, по мнению Банка России, устанавливающего правила проведения банковских операций, заемщиком индивидуальные условия договора потребительского кредита (займа) не подписываются ни собственноручной подписью, ни ее аналогом.</w:t>
      </w:r>
    </w:p>
    <w:p>
      <w:pPr>
        <w:widowControl/>
        <w:spacing w:after="280" w:line="312" w:lineRule="auto"/>
        <w:ind w:firstLine="567"/>
        <w:jc w:val="both"/>
      </w:pPr>
      <w:r>
        <w:rPr>
          <w:rFonts w:ascii="Inter" w:hAnsi="Inter"/>
          <w:color w:val="655D50"/>
          <w:sz w:val="24"/>
        </w:rPr>
        <w:t>Таким образом, по мнению Банка России, подобные практики не могут быть признаны надлежащими и соответствующими требованиям Закона о потребительском кредите.</w:t>
      </w:r>
    </w:p>
    <w:p>
      <w:pPr>
        <w:widowControl/>
        <w:spacing w:after="280" w:line="312" w:lineRule="auto"/>
        <w:ind w:firstLine="567"/>
        <w:jc w:val="both"/>
      </w:pPr>
      <w:r>
        <w:rPr>
          <w:rFonts w:ascii="Inter" w:hAnsi="Inter"/>
          <w:color w:val="655D50"/>
          <w:sz w:val="24"/>
        </w:rPr>
        <w:t>Как установлено судами, все действия по заключению кредитных договоров и переводу денежных средств со счета истца в Банке в другой банк со стороны заемщика выполнены неустановленным лицом.</w:t>
      </w:r>
    </w:p>
    <w:p>
      <w:pPr>
        <w:widowControl/>
        <w:spacing w:after="280" w:line="312" w:lineRule="auto"/>
        <w:ind w:firstLine="567"/>
        <w:jc w:val="both"/>
      </w:pPr>
      <w:r>
        <w:rPr>
          <w:rFonts w:ascii="Inter" w:hAnsi="Inter"/>
          <w:color w:val="655D50"/>
          <w:sz w:val="24"/>
        </w:rPr>
        <w:t>Суд первой инстанции, оценив собранные доказательства, сделал мотивированный вывод о том, что волеизъявление истца на заключение договоров отсутствовало, соответствующие действия им не совершались.</w:t>
      </w:r>
    </w:p>
    <w:p>
      <w:pPr>
        <w:widowControl/>
        <w:spacing w:after="280" w:line="312" w:lineRule="auto"/>
        <w:ind w:firstLine="567"/>
        <w:jc w:val="both"/>
      </w:pPr>
      <w:r>
        <w:rPr>
          <w:rFonts w:ascii="Inter" w:hAnsi="Inter"/>
          <w:color w:val="655D50"/>
          <w:sz w:val="24"/>
        </w:rPr>
        <w:t>Выводы суда первой инстанции соответствуют установленным обстоятельствам дела и приведенным выше нормам материального права с учетом их толкования Банком России.</w:t>
      </w:r>
    </w:p>
    <w:p>
      <w:pPr>
        <w:widowControl/>
        <w:spacing w:after="280" w:line="312" w:lineRule="auto"/>
        <w:ind w:firstLine="567"/>
        <w:jc w:val="both"/>
      </w:pPr>
      <w:r>
        <w:rPr>
          <w:rFonts w:ascii="Inter" w:hAnsi="Inter"/>
          <w:color w:val="655D50"/>
          <w:sz w:val="24"/>
        </w:rPr>
        <w:t>Между тем, суд апелляционной инстанции при тех же обстоятельствах отменил правильное по существу решение суда и принял противоположное решение, исходя из формальных обстоятельств зачисления денежных средств на счет истца, открытый в Банке, и на принадлежность Харченко А.Ф. телефонного номера, с которого производилось оформление кредитного договора и списание денежных средств, без учета того, что денежные средства со счета истца были немедленно списаны без реальной возможности ими распоряжаться, а оформление кредитных договоров и списание денежных средств со счета осуществлялось путем переадресации звонков и сообщений.</w:t>
      </w:r>
    </w:p>
    <w:p>
      <w:pPr>
        <w:widowControl/>
        <w:spacing w:after="280" w:line="312" w:lineRule="auto"/>
        <w:ind w:firstLine="567"/>
        <w:jc w:val="both"/>
      </w:pPr>
      <w:r>
        <w:rPr>
          <w:rFonts w:ascii="Inter" w:hAnsi="Inter"/>
          <w:color w:val="655D50"/>
          <w:sz w:val="24"/>
        </w:rPr>
        <w:t>Не учтено судом апелляционной инстанции и отсутствие соглашения между истцом и Банком об оказании банковских услуг дистанционным способом ввиду установленного и не оспоренного ответчиком факта непричастности истца к представленному Банком договору комплексного банковского обслуживания.</w:t>
      </w:r>
    </w:p>
    <w:p>
      <w:pPr>
        <w:widowControl/>
        <w:spacing w:after="280" w:line="312" w:lineRule="auto"/>
        <w:ind w:firstLine="567"/>
        <w:jc w:val="both"/>
      </w:pPr>
      <w:r>
        <w:rPr>
          <w:rFonts w:ascii="Inter" w:hAnsi="Inter"/>
          <w:color w:val="655D50"/>
          <w:sz w:val="24"/>
        </w:rPr>
        <w:t>Таким образом, судом апелляционной инстанции при постановлении судебного акта допущено неправильное применение норм материального и нарушение норм процессуального права, не соблюдены требования о законности и обоснованности судебного постановления, что не было исправлено кассационным судом общей юрисдикции.</w:t>
      </w:r>
    </w:p>
    <w:p>
      <w:pPr>
        <w:widowControl/>
        <w:spacing w:after="280" w:line="312" w:lineRule="auto"/>
        <w:ind w:firstLine="567"/>
        <w:jc w:val="both"/>
      </w:pPr>
      <w:r>
        <w:rPr>
          <w:rFonts w:ascii="Inter" w:hAnsi="Inter"/>
          <w:color w:val="655D50"/>
          <w:sz w:val="24"/>
        </w:rPr>
        <w:t>В силу п. 4 ч. 1 ст. 390.15 Гражданского процессуального кодекса Российской Федерации по результатам рассмотрения кассационной жалобы, представления с делом судебная коллегия Верховного Суда Российской Федерации вправе оставить в силе одно из принятых по делу судебных постановлений.</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считает, что принятые по делу апелляционное определение и постановление суда кассационной инстанции подлежат отмене с оставлением в силе решения суда первой инстанции, постановленного в соответствии с нормами материального права и при соблюдении требований процессуального закона.</w:t>
      </w:r>
    </w:p>
    <w:p>
      <w:pPr>
        <w:widowControl/>
        <w:spacing w:after="280" w:line="312" w:lineRule="auto"/>
        <w:ind w:firstLine="567"/>
        <w:jc w:val="both"/>
      </w:pPr>
      <w:r>
        <w:rPr>
          <w:rFonts w:ascii="Inter" w:hAnsi="Inter"/>
          <w:color w:val="655D50"/>
          <w:sz w:val="24"/>
        </w:rPr>
        <w:t>Руководствуясь ст.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Воронежского областного суда от 28 ноября 2024 г. и определение судебной коллегии по гражданским делам Первого кассационного суда общей юрисдикции от 26 февраля 2025 г. отменить, оставить в силе решение Центрального районного суда г. Воронежа от 27 мая 2024 г.</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Требование удовлетворено, так как не учтено судом апелляционной инстанции отсутствие соглашения между истцом и банком об оказании банковских услуг дистанционным способом ввиду установленного и не оспоренного ответчиком факта непричастности истца к представленному банком договору комплексного банковского обслуживания.</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28.10.2025 № 14-КГ25-16-К1 (УИД 31RS0022-01-2023-006965-73)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28.10.2025 № 14-КГ25-16-К1 (УИД 31RS0022-01-2023-006965-73)</dc:title>
  <dc:subject/>
  <dc:creator>CasusLegal</dc:creator>
  <cp:keywords/>
  <dc:description/>
  <cp:lastModifiedBy>CasusLegal</cp:lastModifiedBy>
  <cp:revision>1</cp:revision>
  <dcterms:created xsi:type="dcterms:W3CDTF">2026-08-16T11:28:09Z</dcterms:created>
  <dcterms:modified xsi:type="dcterms:W3CDTF">2026-08-16T11:28:09Z</dcterms:modified>
  <cp:category/>
</cp:coreProperties>
</file>