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РФ от 10.11.2015 № 78-КГ15-29</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10.11.2015</w:t>
      </w:r>
    </w:p>
    <w:p>
      <w:pPr>
        <w:spacing w:after="40"/>
      </w:pPr>
      <w:r>
        <w:rPr>
          <w:rFonts w:ascii="Inter" w:hAnsi="Inter"/>
          <w:b/>
          <w:color w:val="8B8171"/>
          <w:sz w:val="18"/>
        </w:rPr>
        <w:t xml:space="preserve">Номер дела: </w:t>
      </w:r>
      <w:r>
        <w:rPr>
          <w:rFonts w:ascii="Inter" w:hAnsi="Inter"/>
          <w:color w:val="655D50"/>
          <w:sz w:val="18"/>
        </w:rPr>
        <w:t>78-КГ15-29</w:t>
      </w:r>
    </w:p>
    <w:p>
      <w:pPr>
        <w:spacing w:after="40"/>
      </w:pPr>
      <w:r>
        <w:rPr>
          <w:rFonts w:ascii="Inter" w:hAnsi="Inter"/>
          <w:b/>
          <w:color w:val="8B8171"/>
          <w:sz w:val="18"/>
        </w:rPr>
        <w:t xml:space="preserve">Применённые нормы: </w:t>
      </w:r>
      <w:r>
        <w:rPr>
          <w:rFonts w:ascii="Inter" w:hAnsi="Inter"/>
          <w:color w:val="655D50"/>
          <w:sz w:val="18"/>
        </w:rPr>
        <w:t>ст. 429 ГК РФ</w:t>
      </w:r>
    </w:p>
    <w:p>
      <w:pPr>
        <w:spacing w:after="40"/>
      </w:pPr>
      <w:r>
        <w:rPr>
          <w:rFonts w:ascii="Inter" w:hAnsi="Inter"/>
          <w:b/>
          <w:color w:val="8B8171"/>
          <w:sz w:val="18"/>
        </w:rPr>
        <w:t xml:space="preserve">Теги: </w:t>
      </w:r>
      <w:r>
        <w:rPr>
          <w:rFonts w:ascii="Inter" w:hAnsi="Inter"/>
          <w:color w:val="655D50"/>
          <w:sz w:val="18"/>
        </w:rPr>
        <w:t>Предварительный договор, Договор купли-продажи недвижимости, Квалификация договора, Обязательство по заключению договора, Статья 429 ГК РФ, Статья 454 ГК РФ, Гражданское право</w:t>
      </w:r>
    </w:p>
    <w:p>
      <w:pPr>
        <w:widowControl/>
        <w:spacing w:after="280" w:line="312" w:lineRule="auto"/>
        <w:ind w:firstLine="567"/>
        <w:jc w:val="both"/>
      </w:pPr>
      <w:r>
        <w:rPr>
          <w:rFonts w:ascii="Inter" w:hAnsi="Inter"/>
          <w:color w:val="655D50"/>
          <w:sz w:val="24"/>
        </w:rPr>
        <w:t>В адрес истцов было направлено уведомление о прекращении действия предварительного договора, денежные средства, полученные ответчиком, были возвращены истцам.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Горшкова В.В., судей Гетман Е.С. и Романовского С.В. рассмотрела в судебном заседании гражданское дело по иску Жолнеровича В.Г. и Жолнерович Г.Б. к обществу с ограниченной ответственностью "НеваИнвестПроект" и обществу с ограниченной ответственностью "ЛАД" о возложении обязанности совершить определенные действия и взыскании денежных средств по кассационной жалобе Жолнеровича Г.Б. Жолнерович Г.Б. на апелляционное определение судебной коллегии по гражданским делам Санкт-Петербургского городского суда от 19 ноября 2014 г. Заслушав доклад судьи Верховного Суда Российской Федерации Гетман Е.С., выслушав объяснения Жолнеровича В.Г., поддержавшего доводы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Жолнерович В.Г. и Жолнерович Г.Б. обратились в суд с иском к ООО "НеваИнвестПроект", ООО "ЛАД" о возложении обязанности совершить определенные действия и взыскании денежных средств.</w:t>
      </w:r>
    </w:p>
    <w:p>
      <w:pPr>
        <w:widowControl/>
        <w:spacing w:after="280" w:line="312" w:lineRule="auto"/>
        <w:ind w:firstLine="567"/>
        <w:jc w:val="both"/>
      </w:pPr>
      <w:r>
        <w:rPr>
          <w:rFonts w:ascii="Inter" w:hAnsi="Inter"/>
          <w:color w:val="655D50"/>
          <w:sz w:val="24"/>
        </w:rPr>
        <w:t>Решением Московского районного суда г. Санкт-Петербурга от 21 июля 2014 г. иск удовлетворен частично, на ООО "НеваИнвестПроект" возложена обязанность заключить с истцами договор купли-продажи жилого дома и земельного участка на условиях предварительного договора купли-продажи от 18 мая 2012 г., с ООО "НеваИнвестПроект" в пользу истцов взысканы проценты за пользование чужими денежными средствами - … руб., штраф - … руб., компенсация морального вреда - … руб. в пользу каждого, а также государственная пошлина в доход бюджета г. Санкт-Петербурга - … руб. На истцов возложена обязанность произвести перечисление денежных средств в размере … руб. на счет продавца за исполнение договора купли-продажи недвижимого имущества в течение 10 дней с момента вступления решения в законную силу.</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Санкт-Петербургского городского суда от 19 ноября 2014 г. решение суда первой инстанции отменено, по делу принято новое решение об отказе в удовлетворении исковых требований.</w:t>
      </w:r>
    </w:p>
    <w:p>
      <w:pPr>
        <w:widowControl/>
        <w:spacing w:after="280" w:line="312" w:lineRule="auto"/>
        <w:ind w:firstLine="567"/>
        <w:jc w:val="both"/>
      </w:pPr>
      <w:r>
        <w:rPr>
          <w:rFonts w:ascii="Inter" w:hAnsi="Inter"/>
          <w:color w:val="655D50"/>
          <w:sz w:val="24"/>
        </w:rPr>
        <w:t>В кассационной жалобе Жолнеровича В.Г. и Жолнерович Г.Б. ставится вопрос об отмене апелляционного определения судебной коллегии по гражданским делам Санкт-Петербургского городского суда от 19 ноября 2014 г., как незаконного.</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Асташова С.В. от 8 октября 2015 г. кассационная жалоба вместе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В письменных пояснениях к кассационной жалобе, представленных 10 ноября 2015 г. в судебное заседание Судебной коллегии по гражданским делам Верховного Суда Российской Федерации, Жолнерович В.Г. просит отменить решение Московского районного суда г. Санкт-Петербурга от 21 июля 2014 г. и апелляционное определение судебной коллегии по гражданским делам Санкт-Петербургского городского суда от 19 ноября 2014 г.</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жалобе, Судебная коллегия по гражданским делам Верховного Суда Российской Федерации находит, что имеются предусмотренные статьей 387 Гражданского процессуального кодекса Российской Федерации основания для отмены в кассационном порядке решения Московского районного суда г. Санкт-Петербурга от 21 июля 2014 г. и апелляционного определения судебной коллегии по гражданским делам Санкт-Петербургского городского суда от 19 ноября 2014 г.</w:t>
      </w:r>
    </w:p>
    <w:p>
      <w:pPr>
        <w:widowControl/>
        <w:spacing w:after="280" w:line="312" w:lineRule="auto"/>
        <w:ind w:firstLine="567"/>
        <w:jc w:val="both"/>
      </w:pPr>
      <w:r>
        <w:rPr>
          <w:rFonts w:ascii="Inter" w:hAnsi="Inter"/>
          <w:color w:val="655D50"/>
          <w:sz w:val="24"/>
        </w:rPr>
        <w:t>В соответствии со статьей 387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или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были допущены судами при разрешении данного спора.</w:t>
      </w:r>
    </w:p>
    <w:p>
      <w:pPr>
        <w:widowControl/>
        <w:spacing w:after="280" w:line="312" w:lineRule="auto"/>
        <w:ind w:firstLine="567"/>
        <w:jc w:val="both"/>
      </w:pPr>
      <w:r>
        <w:rPr>
          <w:rFonts w:ascii="Inter" w:hAnsi="Inter"/>
          <w:color w:val="655D50"/>
          <w:sz w:val="24"/>
        </w:rPr>
        <w:t>Судом установлено, что 9 января 2007 г. между ООО "НеваИнвестПроект" и ООО "ЛАД" заключен генеральный инвестиционный договор № 01, по условиям которого ООО "НеваИнвестПроект" поручает, а ООО "ЛАД" обязуется осуществить выбор земельного участка и поэтапно произвести строительство малоэтажного жилого комплекса и объектов инфраструктуры на территории МО "Выборгский район Ленинградской области". В силу раздела 14 генерального договора результаты застройки подлежали передаче в собственность ООО "НеваИнвестПроект".</w:t>
      </w:r>
    </w:p>
    <w:p>
      <w:pPr>
        <w:widowControl/>
        <w:spacing w:after="280" w:line="312" w:lineRule="auto"/>
        <w:ind w:firstLine="567"/>
        <w:jc w:val="both"/>
      </w:pPr>
      <w:r>
        <w:rPr>
          <w:rFonts w:ascii="Inter" w:hAnsi="Inter"/>
          <w:color w:val="655D50"/>
          <w:sz w:val="24"/>
        </w:rPr>
        <w:t>Пунктом 2.3.4 указанного выше договора ООО "НеваИнвестПроект" было предоставлено право по своему усмотрению уступать другим юридическим и физическим лицам полностью или в части права на финансирование строительства объекта.</w:t>
      </w:r>
    </w:p>
    <w:p>
      <w:pPr>
        <w:widowControl/>
        <w:spacing w:after="280" w:line="312" w:lineRule="auto"/>
        <w:ind w:firstLine="567"/>
        <w:jc w:val="both"/>
      </w:pPr>
      <w:r>
        <w:rPr>
          <w:rFonts w:ascii="Inter" w:hAnsi="Inter"/>
          <w:color w:val="655D50"/>
          <w:sz w:val="24"/>
        </w:rPr>
        <w:t>30 декабря 2009 г. между ответчиками было заключено агентское соглашение, по условиям которого ООО "НеваИнвестПроект" являлось агентом ООО "ЛАД" по привлечению покупателей объектов недвижимости и заключению предварительных договоров купли-продажи, а также основных договоров купли-продажи и актов приема-передачи объектов недвижимости.</w:t>
      </w:r>
    </w:p>
    <w:p>
      <w:pPr>
        <w:widowControl/>
        <w:spacing w:after="280" w:line="312" w:lineRule="auto"/>
        <w:ind w:firstLine="567"/>
        <w:jc w:val="both"/>
      </w:pPr>
      <w:r>
        <w:rPr>
          <w:rFonts w:ascii="Inter" w:hAnsi="Inter"/>
          <w:color w:val="655D50"/>
          <w:sz w:val="24"/>
        </w:rPr>
        <w:t>18 мая 2012 г. Жолнерович В.Г. и Жолнерович Г.Б. заключили с ООО "НеваИнвестПроект" предварительный договор купли-продажи жилого дома и земельного участка, предметом которого являлось заключение в будущем основного договора купли-продажи земельного участка и жилого дома, расположенных по адресу: … (далее - предварительный договор). При этом предварительный договор заключен ООО "НеваИнвестПроект" от своего имени.</w:t>
      </w:r>
    </w:p>
    <w:p>
      <w:pPr>
        <w:widowControl/>
        <w:spacing w:after="280" w:line="312" w:lineRule="auto"/>
        <w:ind w:firstLine="567"/>
        <w:jc w:val="both"/>
      </w:pPr>
      <w:r>
        <w:rPr>
          <w:rFonts w:ascii="Inter" w:hAnsi="Inter"/>
          <w:color w:val="655D50"/>
          <w:sz w:val="24"/>
        </w:rPr>
        <w:t>Согласно п. 2.2 предварительного договора основной договор купли-продажи стороны обязуются заключить в течение 15 рабочих дней с момента государственной регистрации на имя продавца права собственности на жилой дом и исполнения покупателями своих обязательств в соответствии с приложениями к предварительному договору.</w:t>
      </w:r>
    </w:p>
    <w:p>
      <w:pPr>
        <w:widowControl/>
        <w:spacing w:after="280" w:line="312" w:lineRule="auto"/>
        <w:ind w:firstLine="567"/>
        <w:jc w:val="both"/>
      </w:pPr>
      <w:r>
        <w:rPr>
          <w:rFonts w:ascii="Inter" w:hAnsi="Inter"/>
          <w:color w:val="655D50"/>
          <w:sz w:val="24"/>
        </w:rPr>
        <w:t>Из приложения № 1 к предварительному договору следует, что общая стоимость приобретаемых объектов недвижимости составила сумму в размере … руб.</w:t>
      </w:r>
    </w:p>
    <w:p>
      <w:pPr>
        <w:widowControl/>
        <w:spacing w:after="280" w:line="312" w:lineRule="auto"/>
        <w:ind w:firstLine="567"/>
        <w:jc w:val="both"/>
      </w:pPr>
      <w:r>
        <w:rPr>
          <w:rFonts w:ascii="Inter" w:hAnsi="Inter"/>
          <w:color w:val="655D50"/>
          <w:sz w:val="24"/>
        </w:rPr>
        <w:t>Свои обязательства по договору истцы исполнили надлежащим образом, денежные средства в размере … руб. были перечислены ООО "НеваИнвестПроект" в полном объеме в период с 27 апреля по 25 мая 2012 г.</w:t>
      </w:r>
    </w:p>
    <w:p>
      <w:pPr>
        <w:widowControl/>
        <w:spacing w:after="280" w:line="312" w:lineRule="auto"/>
        <w:ind w:firstLine="567"/>
        <w:jc w:val="both"/>
      </w:pPr>
      <w:r>
        <w:rPr>
          <w:rFonts w:ascii="Inter" w:hAnsi="Inter"/>
          <w:color w:val="655D50"/>
          <w:sz w:val="24"/>
        </w:rPr>
        <w:t>Согласно приложению № 7 к предварительному договору срок заключения основного договора определен 25 января 2013 г. При этом в указанном приложении содержится ссылка на то, что названный срок может быть изменен на более поздний в связи с задержками сроков исполнения своих функций государственными, муниципальными и иными органами и службами, в том числе регистрирующими органами.</w:t>
      </w:r>
    </w:p>
    <w:p>
      <w:pPr>
        <w:widowControl/>
        <w:spacing w:after="280" w:line="312" w:lineRule="auto"/>
        <w:ind w:firstLine="567"/>
        <w:jc w:val="both"/>
      </w:pPr>
      <w:r>
        <w:rPr>
          <w:rFonts w:ascii="Inter" w:hAnsi="Inter"/>
          <w:color w:val="655D50"/>
          <w:sz w:val="24"/>
        </w:rPr>
        <w:t>10 июля 2013 г. истцами в адрес ответчика направлена претензия с требованием исполнить принятые на себя обязательства - заключить основной договор купли-продажи. Претензия получена ответчиком 11 июля 2013 г., однако была оставлена без удовлетворения.</w:t>
      </w:r>
    </w:p>
    <w:p>
      <w:pPr>
        <w:widowControl/>
        <w:spacing w:after="280" w:line="312" w:lineRule="auto"/>
        <w:ind w:firstLine="567"/>
        <w:jc w:val="both"/>
      </w:pPr>
      <w:r>
        <w:rPr>
          <w:rFonts w:ascii="Inter" w:hAnsi="Inter"/>
          <w:color w:val="655D50"/>
          <w:sz w:val="24"/>
        </w:rPr>
        <w:t>14 января в адрес истцов ООО "НеваИнвестПроект" направлено уведомление о прекращении действия предварительного договора на основании абзаца второго части 4 статьи 429 Гражданского кодекса Российской Федерации.</w:t>
      </w:r>
    </w:p>
    <w:p>
      <w:pPr>
        <w:widowControl/>
        <w:spacing w:after="280" w:line="312" w:lineRule="auto"/>
        <w:ind w:firstLine="567"/>
        <w:jc w:val="both"/>
      </w:pPr>
      <w:r>
        <w:rPr>
          <w:rFonts w:ascii="Inter" w:hAnsi="Inter"/>
          <w:color w:val="655D50"/>
          <w:sz w:val="24"/>
        </w:rPr>
        <w:t>Денежные средства, полученные ООО "НеваИнвестПроект", возвращены истцам 20 февраля 2014 г. на основании платежного поручения № 587.</w:t>
      </w:r>
    </w:p>
    <w:p>
      <w:pPr>
        <w:widowControl/>
        <w:spacing w:after="280" w:line="312" w:lineRule="auto"/>
        <w:ind w:firstLine="567"/>
        <w:jc w:val="both"/>
      </w:pPr>
      <w:r>
        <w:rPr>
          <w:rFonts w:ascii="Inter" w:hAnsi="Inter"/>
          <w:color w:val="655D50"/>
          <w:sz w:val="24"/>
        </w:rPr>
        <w:t>Судом установлено также, что на спорный жилой дом и на земельный участок, на котором расположен дом, зарегистрировано право собственности ООО "ЛАД" - 17 декабря 2013 г. и 10 марта 2014 г. соответственно.</w:t>
      </w:r>
    </w:p>
    <w:p>
      <w:pPr>
        <w:widowControl/>
        <w:spacing w:after="280" w:line="312" w:lineRule="auto"/>
        <w:ind w:firstLine="567"/>
        <w:jc w:val="both"/>
      </w:pPr>
      <w:r>
        <w:rPr>
          <w:rFonts w:ascii="Inter" w:hAnsi="Inter"/>
          <w:color w:val="655D50"/>
          <w:sz w:val="24"/>
        </w:rPr>
        <w:t>Разрешая спор и частично удовлетворяя исковые требования Жолнеровича В.Г. и Жолнерович Г.Б., суд первой инстанции исходил из того, что между истцами и ООО "НеваИнвестПроект" заключен предварительный договор, по которому истцы надлежащим образом исполнили принятые на себя обязательства. При этом суд сослался на отсутствие у ООО "НеваИнвестПроект" предусмотренных пунктом 4 статьи 429 Гражданского кодекса Российской Федерации оснований для расторжения предварительного договора, поскольку срок заключения основного договора купли-продажи, подлежащий, по мнению суда, исчислению с момента государственной регистрации права собственности на объекты недвижимости за ООО "ЛАД", не истек.</w:t>
      </w:r>
    </w:p>
    <w:p>
      <w:pPr>
        <w:widowControl/>
        <w:spacing w:after="280" w:line="312" w:lineRule="auto"/>
        <w:ind w:firstLine="567"/>
        <w:jc w:val="both"/>
      </w:pPr>
      <w:r>
        <w:rPr>
          <w:rFonts w:ascii="Inter" w:hAnsi="Inter"/>
          <w:color w:val="655D50"/>
          <w:sz w:val="24"/>
        </w:rPr>
        <w:t>Отменяя решение суда первой инстанции и принимая новое решение об отказе в иске, суд апелляционной инстанции согласился с выводами суда первой инстанции о том, что договор, заключенный между истцами и ООО "НеваИнвестПроект", является предварительным договором. Однако суд апелляционной инстанции указал, что поскольку государственная регистрация права собственности на объекты недвижимости не является неизбежным событием (пункт 2 статья 190 Гражданского кодекса Российской Федерации), то срок действия предварительного договора, заключенного между Жолнеровичем В.Г., Жолнерович Г.Б. и ООО "НеваИнвестПроект", истек 25 января 2013 г. После указанной даты обязательства сторон по предварительному договору прекратились в силу пункта 6 статьи 429 Гражданского кодекса Российской Федерации. В связи с этим суд апелляционной инстанции не согласился с выводом суда первой инстанции о наличии оснований для удовлетворения исковых требований о возложении на ООО "НеваИнвестПроект" обязанности заключить основной договор купли-продажи на условиях предварительного договора.</w:t>
      </w:r>
    </w:p>
    <w:p>
      <w:pPr>
        <w:widowControl/>
        <w:spacing w:after="280" w:line="312" w:lineRule="auto"/>
        <w:ind w:firstLine="567"/>
        <w:jc w:val="both"/>
      </w:pPr>
      <w:r>
        <w:rPr>
          <w:rFonts w:ascii="Inter" w:hAnsi="Inter"/>
          <w:color w:val="655D50"/>
          <w:sz w:val="24"/>
        </w:rPr>
        <w:t>Суд апелляционной инстанции сослался также на то, что обязанности по заключению с истцами основного договора купли-продажи не имелось и у ООО "ЛАД", поскольку между ним и истцами отсутствовали какие-либо договорные отношения.</w:t>
      </w:r>
    </w:p>
    <w:p>
      <w:pPr>
        <w:widowControl/>
        <w:spacing w:after="280" w:line="312" w:lineRule="auto"/>
        <w:ind w:firstLine="567"/>
        <w:jc w:val="both"/>
      </w:pPr>
      <w:r>
        <w:rPr>
          <w:rFonts w:ascii="Inter" w:hAnsi="Inter"/>
          <w:color w:val="655D50"/>
          <w:sz w:val="24"/>
        </w:rPr>
        <w:t>С выводами судов первой и апелляционной инстанций согласиться нельзя по следующим обстоятельствам.</w:t>
      </w:r>
    </w:p>
    <w:p>
      <w:pPr>
        <w:widowControl/>
        <w:spacing w:after="280" w:line="312" w:lineRule="auto"/>
        <w:ind w:firstLine="567"/>
        <w:jc w:val="both"/>
      </w:pPr>
      <w:r>
        <w:rPr>
          <w:rFonts w:ascii="Inter" w:hAnsi="Inter"/>
          <w:color w:val="655D50"/>
          <w:sz w:val="24"/>
        </w:rPr>
        <w:t>В соответствии с пунктом 2 статьи 307 Гражданского кодекса Российской Федерации (здесь и далее статьи Гражданского кодекса Российской Федерации приведены в редакции, действующей на момент возникновения спорных отношений)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данном кодексе.</w:t>
      </w:r>
    </w:p>
    <w:p>
      <w:pPr>
        <w:widowControl/>
        <w:spacing w:after="280" w:line="312" w:lineRule="auto"/>
        <w:ind w:firstLine="567"/>
        <w:jc w:val="both"/>
      </w:pPr>
      <w:r>
        <w:rPr>
          <w:rFonts w:ascii="Inter" w:hAnsi="Inter"/>
          <w:color w:val="655D50"/>
          <w:sz w:val="24"/>
        </w:rPr>
        <w:t>В соответствии с пунктами 1, 2 и 3 статьи 421 Гражданского кодекса Российской Федерации граждане и юридические лица свободны в заключении договора. Стороны могут заключить договор, как предусмотренный, так и не предусмотренный законом или иными правовыми актами.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pPr>
        <w:widowControl/>
        <w:spacing w:after="280" w:line="312" w:lineRule="auto"/>
        <w:ind w:firstLine="567"/>
        <w:jc w:val="both"/>
      </w:pPr>
      <w:r>
        <w:rPr>
          <w:rFonts w:ascii="Inter" w:hAnsi="Inter"/>
          <w:color w:val="655D50"/>
          <w:sz w:val="24"/>
        </w:rPr>
        <w:t>Согласно пункту 1 статьи 429 Гражданского кодекса Российской Федерации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pPr>
        <w:widowControl/>
        <w:spacing w:after="280" w:line="312" w:lineRule="auto"/>
        <w:ind w:firstLine="567"/>
        <w:jc w:val="both"/>
      </w:pPr>
      <w:r>
        <w:rPr>
          <w:rFonts w:ascii="Inter" w:hAnsi="Inter"/>
          <w:color w:val="655D50"/>
          <w:sz w:val="24"/>
        </w:rPr>
        <w:t>Предварительный договор должен содержать условия, позволяющие установить предмет, а также другие существенные условия основного договора (пункт 3 статьи 429 Гражданского кодекса Российской Федерации).</w:t>
      </w:r>
    </w:p>
    <w:p>
      <w:pPr>
        <w:widowControl/>
        <w:spacing w:after="280" w:line="312" w:lineRule="auto"/>
        <w:ind w:firstLine="567"/>
        <w:jc w:val="both"/>
      </w:pPr>
      <w:r>
        <w:rPr>
          <w:rFonts w:ascii="Inter" w:hAnsi="Inter"/>
          <w:color w:val="655D50"/>
          <w:sz w:val="24"/>
        </w:rPr>
        <w:t>Таким образом, предметом предварительного договора является обязательство сторон только по поводу заключения будущего договора.</w:t>
      </w:r>
    </w:p>
    <w:p>
      <w:pPr>
        <w:widowControl/>
        <w:spacing w:after="280" w:line="312" w:lineRule="auto"/>
        <w:ind w:firstLine="567"/>
        <w:jc w:val="both"/>
      </w:pPr>
      <w:r>
        <w:rPr>
          <w:rFonts w:ascii="Inter" w:hAnsi="Inter"/>
          <w:color w:val="655D50"/>
          <w:sz w:val="24"/>
        </w:rPr>
        <w:t>Однако заключенный между истцами и ООО "НеваИнвестПроект" договор, поименованный предварительным договором купли-продажи жилого дома и земельного участка, не являлся предварительным договором по смыслу статьи 429 Гражданского кодекса Российской Федерации. В соответствии с условиями данного договора стороны предусмотрели не только обязанность заключить в будущем договор купли-продажи недвижимого имущества, но и обязанность Жолнеровича В.Г. и Жолнерович Г.Б. внести денежные средства в сумме … руб. на расчетный счет продавца, то есть произвести предварительную оплату основного договора купли-продажи.</w:t>
      </w:r>
    </w:p>
    <w:p>
      <w:pPr>
        <w:widowControl/>
        <w:spacing w:after="280" w:line="312" w:lineRule="auto"/>
        <w:ind w:firstLine="567"/>
        <w:jc w:val="both"/>
      </w:pPr>
      <w:r>
        <w:rPr>
          <w:rFonts w:ascii="Inter" w:hAnsi="Inter"/>
          <w:color w:val="655D50"/>
          <w:sz w:val="24"/>
        </w:rPr>
        <w:t>Это судебными инстанциями учтено не было, что повлекло за собой неправильную квалификацию возникших отношений между сторонами и, соответственно, неправильное применение норм права, что является основанием для отмены вынесенных судебных постановлений.</w:t>
      </w:r>
    </w:p>
    <w:p>
      <w:pPr>
        <w:widowControl/>
        <w:spacing w:after="280" w:line="312" w:lineRule="auto"/>
        <w:ind w:firstLine="567"/>
        <w:jc w:val="both"/>
      </w:pPr>
      <w:r>
        <w:rPr>
          <w:rFonts w:ascii="Inter" w:hAnsi="Inter"/>
          <w:color w:val="655D50"/>
          <w:sz w:val="24"/>
        </w:rPr>
        <w:t>Кроме того, Судебная коллегия по гражданским делам Верховного Суда Российской Федерации отмечает следующее.</w:t>
      </w:r>
    </w:p>
    <w:p>
      <w:pPr>
        <w:widowControl/>
        <w:spacing w:after="280" w:line="312" w:lineRule="auto"/>
        <w:ind w:firstLine="567"/>
        <w:jc w:val="both"/>
      </w:pPr>
      <w:r>
        <w:rPr>
          <w:rFonts w:ascii="Inter" w:hAnsi="Inter"/>
          <w:color w:val="655D50"/>
          <w:sz w:val="24"/>
        </w:rPr>
        <w:t>Согласно статье 327.1 (часть 1) Гражданского процессуального кодекса Российской Федерации суд апелляционной инстанции рассматривает дело в пределах доводов, изложенных в апелляционных жалобе, представлении и возражениях относительно жалобы, представления.</w:t>
      </w:r>
    </w:p>
    <w:p>
      <w:pPr>
        <w:widowControl/>
        <w:spacing w:after="280" w:line="312" w:lineRule="auto"/>
        <w:ind w:firstLine="567"/>
        <w:jc w:val="both"/>
      </w:pPr>
      <w:r>
        <w:rPr>
          <w:rFonts w:ascii="Inter" w:hAnsi="Inter"/>
          <w:color w:val="655D50"/>
          <w:sz w:val="24"/>
        </w:rPr>
        <w:t>В случае, если в порядке апелляционного производства обжалуется только часть решения, суд апелляционной инстанции проверяет законность и обоснованность решения только в обжалуемой части. Суд апелляционной инстанции в интересах законности вправе проверить решение суда первой инстанции в полном объеме (часть 2 статьи 327.1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Вне зависимости от доводов, содержащихся в апелляционных жалобе, представлении, суд апелляционной инстанции проверяет, не нарушены ли судом первой инстанции нормы процессуального права, являющиеся в соответствии с частью четвертой статьи 330 Кодекса основаниями для отмены решения суда первой инстанции (часть 3 статьи 327.1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Согласно пункту 24 постановления Пленума Верховного Суда Российской Федерации от 19 июня 2012 г. № 13 "О применении судами норм гражданского процессуального законодательства, регламентирующих производство в суде апелляционной инстанции" судам апелляционной инстанции необходимо исходить из того, что под интересами законности с учетом положений статьи 2 Гражданского процессуального кодекса Российской Федерации следует понимать необходимость проверки правильности применения судом первой инстанции норм материального и процессуального права в целях защиты нарушенных или оспариваемых прав, свобод и законных интересов участников гражданских, трудовых (служебных) и иных правоотношений, а также в целях защиты семьи, материнства, отцовства, детства; социальной защиты; обеспечения права на жилище; охраны здоровья; обеспечения права на благоприятную окружающую среду; защиты права на образование и других прав и свобод человека и гражданина; в целях защиты прав и законных интересов неопределенного круга лиц и публичных интересов и в иных случаях необходимости охранения правопорядка.</w:t>
      </w:r>
    </w:p>
    <w:p>
      <w:pPr>
        <w:widowControl/>
        <w:spacing w:after="280" w:line="312" w:lineRule="auto"/>
        <w:ind w:firstLine="567"/>
        <w:jc w:val="both"/>
      </w:pPr>
      <w:r>
        <w:rPr>
          <w:rFonts w:ascii="Inter" w:hAnsi="Inter"/>
          <w:color w:val="655D50"/>
          <w:sz w:val="24"/>
        </w:rPr>
        <w:t>Судам апелляционной инстанции необходимо учитывать, что интересам законности не отвечает, в частности, применение судом первой инстанции норм материального и процессуального права с нарушением правил действия законов во времени, пространстве и по кругу лиц.</w:t>
      </w:r>
    </w:p>
    <w:p>
      <w:pPr>
        <w:widowControl/>
        <w:spacing w:after="280" w:line="312" w:lineRule="auto"/>
        <w:ind w:firstLine="567"/>
        <w:jc w:val="both"/>
      </w:pPr>
      <w:r>
        <w:rPr>
          <w:rFonts w:ascii="Inter" w:hAnsi="Inter"/>
          <w:color w:val="655D50"/>
          <w:sz w:val="24"/>
        </w:rPr>
        <w:t>В случае, если суд апелляционной инстанции пришел к выводу о необходимости проверить обжалуемое судебное постановление суда первой инстанции в полном объеме, апелляционное определение в соответствии с пунктом 6 части 2 статьи 329 Гражданского процессуального кодекса Российской Федерации должно содержать мотивы, по которым суд апелляционной инстанции пришел к такому выводу.</w:t>
      </w:r>
    </w:p>
    <w:p>
      <w:pPr>
        <w:widowControl/>
        <w:spacing w:after="280" w:line="312" w:lineRule="auto"/>
        <w:ind w:firstLine="567"/>
        <w:jc w:val="both"/>
      </w:pPr>
      <w:r>
        <w:rPr>
          <w:rFonts w:ascii="Inter" w:hAnsi="Inter"/>
          <w:color w:val="655D50"/>
          <w:sz w:val="24"/>
        </w:rPr>
        <w:t>Как следует из материалов дела, суд апелляционной инстанции, рассматривая апелляционную жалобу Жолнеровича В.Г. и Жолнерович Г.Б., требования которых были частично удовлетворены судом первой инстанции, указал на необходимость выйти за рамки доводов апелляционной жалобы и в интересах законности проверил решение суда первой инстанции в полном объеме в связи с неправильным определением судом первой инстанции обстоятельств, имеющих значение для дела, и отказал в удовлетворении иска Жолнеровича В.Г. и Жолнерович Г.Б. в полном объеме.</w:t>
      </w:r>
    </w:p>
    <w:p>
      <w:pPr>
        <w:widowControl/>
        <w:spacing w:after="280" w:line="312" w:lineRule="auto"/>
        <w:ind w:firstLine="567"/>
        <w:jc w:val="both"/>
      </w:pPr>
      <w:r>
        <w:rPr>
          <w:rFonts w:ascii="Inter" w:hAnsi="Inter"/>
          <w:color w:val="655D50"/>
          <w:sz w:val="24"/>
        </w:rPr>
        <w:t>Между тем неправильное определение судом обстоятельств, имеющих значение для дела, как следует из перечисленных норм гражданского процессуального законодательства и акта их разъяснения, не является основанием для проверки обжалуемого судебного постановления с выходом за пределы требований, изложенных в апелляционной жалобе.</w:t>
      </w:r>
    </w:p>
    <w:p>
      <w:pPr>
        <w:widowControl/>
        <w:spacing w:after="280" w:line="312" w:lineRule="auto"/>
        <w:ind w:firstLine="567"/>
        <w:jc w:val="both"/>
      </w:pPr>
      <w:r>
        <w:rPr>
          <w:rFonts w:ascii="Inter" w:hAnsi="Inter"/>
          <w:color w:val="655D50"/>
          <w:sz w:val="24"/>
        </w:rPr>
        <w:t>Допущенные судами первой и апелляционной инстанций нарушения норм материального и процессуального права являются существенными и могут быть исправлены лишь посредством отмены состоявшихся по делу судебных постановлений.</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находит необходимым отменить решение Московского районного суда г. Санкт-Петербурга от 21 июля 2014 г. и апелляционное определение судебной коллегии по гражданским делам Санкт-Петербургского городского суда от 19 ноября 2014 г. и направить дело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следует установить правовую природу заключенного между Жолнеровичем В.Г., Жолнерович Г.Б. и ООО "НеваИнвестПроект" договора, исходя из этого предложить истцам уточнить свои исковые требования, определить закон, которым следует руководствоваться при разрешении дела.</w:t>
      </w:r>
    </w:p>
    <w:p>
      <w:pPr>
        <w:widowControl/>
        <w:spacing w:after="280" w:line="312" w:lineRule="auto"/>
        <w:ind w:firstLine="567"/>
        <w:jc w:val="both"/>
      </w:pPr>
      <w:r>
        <w:rPr>
          <w:rFonts w:ascii="Inter" w:hAnsi="Inter"/>
          <w:color w:val="655D50"/>
          <w:sz w:val="24"/>
        </w:rPr>
        <w:t>Руководствуясь статьями 387, 388, 390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Московского районного суда г. Санкт-Петербурга от 21 июля 2014 г. и апелляционное определение судебной коллегии по гражданским делам Санкт-Петербургского городского суда от 19 ноября 2014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заключенный между сторонами договор, поименованный предварительным договором купли-продажи, не являлся предварительным договором по смыслу статьи 429 ГК РФ, что судом учтено не было и повлекло за собой неправильную квалификацию возникших отношений между сторонами и, соответственно, неправильное применение норм права.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РФ от 10.11.2015 № 78-КГ15-29</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РФ от 10.11.2015 № 78-КГ15-29</dc:title>
  <dc:subject/>
  <dc:creator>CasusLegal</dc:creator>
  <cp:keywords/>
  <dc:description/>
  <cp:lastModifiedBy>CasusLegal</cp:lastModifiedBy>
  <cp:revision>1</cp:revision>
  <dcterms:created xsi:type="dcterms:W3CDTF">2026-08-16T12:09:58Z</dcterms:created>
  <dcterms:modified xsi:type="dcterms:W3CDTF">2026-08-16T12:09:58Z</dcterms:modified>
  <cp:category/>
</cp:coreProperties>
</file>